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0E27E3">
      <w:pPr>
        <w:pStyle w:val="4"/>
        <w:adjustRightInd w:val="0"/>
        <w:snapToGrid w:val="0"/>
        <w:jc w:val="both"/>
        <w:rPr>
          <w:rFonts w:hint="eastAsia" w:ascii="仿宋" w:hAnsi="仿宋" w:eastAsia="仿宋"/>
          <w:sz w:val="32"/>
          <w:szCs w:val="32"/>
        </w:rPr>
      </w:pPr>
      <w:r>
        <w:rPr>
          <w:rFonts w:hint="eastAsia" w:ascii="仿宋" w:hAnsi="仿宋" w:eastAsia="仿宋"/>
          <w:sz w:val="32"/>
          <w:szCs w:val="32"/>
        </w:rPr>
        <w:t>附件</w:t>
      </w:r>
    </w:p>
    <w:p w14:paraId="64101CB9">
      <w:pPr>
        <w:jc w:val="center"/>
        <w:rPr>
          <w:b/>
          <w:color w:val="000000"/>
          <w:sz w:val="44"/>
          <w:szCs w:val="44"/>
        </w:rPr>
      </w:pPr>
      <w:r>
        <w:rPr>
          <w:rFonts w:hint="eastAsia"/>
          <w:b/>
          <w:color w:val="000000"/>
          <w:sz w:val="44"/>
          <w:szCs w:val="44"/>
        </w:rPr>
        <w:t>2026年校级科研项目拟立项名单</w:t>
      </w:r>
    </w:p>
    <w:p w14:paraId="07C4F833">
      <w:pPr>
        <w:pStyle w:val="2"/>
        <w:ind w:firstLine="200"/>
        <w:rPr>
          <w:rFonts w:hint="eastAsia"/>
        </w:rPr>
      </w:pPr>
    </w:p>
    <w:tbl>
      <w:tblPr>
        <w:tblStyle w:val="5"/>
        <w:tblpPr w:leftFromText="180" w:rightFromText="180" w:vertAnchor="text" w:tblpX="-855" w:tblpY="1"/>
        <w:tblOverlap w:val="never"/>
        <w:tblW w:w="10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01"/>
        <w:gridCol w:w="24"/>
        <w:gridCol w:w="5505"/>
        <w:gridCol w:w="30"/>
        <w:gridCol w:w="1387"/>
        <w:gridCol w:w="8"/>
        <w:gridCol w:w="1413"/>
      </w:tblGrid>
      <w:tr w14:paraId="7FBA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0743" w:type="dxa"/>
            <w:gridSpan w:val="8"/>
            <w:noWrap w:val="0"/>
            <w:vAlign w:val="center"/>
          </w:tcPr>
          <w:p w14:paraId="655B2140">
            <w:pPr>
              <w:autoSpaceDE w:val="0"/>
              <w:autoSpaceDN w:val="0"/>
              <w:adjustRightInd w:val="0"/>
              <w:snapToGrid w:val="0"/>
              <w:jc w:val="center"/>
              <w:rPr>
                <w:rFonts w:hint="eastAsia" w:ascii="仿宋" w:hAnsi="仿宋" w:eastAsia="仿宋" w:cs="仿宋_GB2312"/>
                <w:b/>
                <w:bCs/>
                <w:kern w:val="0"/>
                <w:sz w:val="32"/>
                <w:szCs w:val="32"/>
              </w:rPr>
            </w:pPr>
            <w:r>
              <w:rPr>
                <w:rFonts w:hint="eastAsia" w:ascii="仿宋" w:hAnsi="仿宋" w:eastAsia="仿宋" w:cs="仿宋_GB2312"/>
                <w:b/>
                <w:bCs/>
                <w:kern w:val="0"/>
                <w:sz w:val="32"/>
                <w:szCs w:val="32"/>
              </w:rPr>
              <w:t>校级科研培育计划项目</w:t>
            </w:r>
          </w:p>
        </w:tc>
      </w:tr>
      <w:tr w14:paraId="2CE6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41BF25EE">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序号</w:t>
            </w:r>
          </w:p>
        </w:tc>
        <w:tc>
          <w:tcPr>
            <w:tcW w:w="1701" w:type="dxa"/>
            <w:noWrap w:val="0"/>
            <w:vAlign w:val="center"/>
          </w:tcPr>
          <w:p w14:paraId="55C9AE2D">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项目类别</w:t>
            </w:r>
          </w:p>
        </w:tc>
        <w:tc>
          <w:tcPr>
            <w:tcW w:w="5529" w:type="dxa"/>
            <w:gridSpan w:val="2"/>
            <w:noWrap w:val="0"/>
            <w:vAlign w:val="center"/>
          </w:tcPr>
          <w:p w14:paraId="2260DC5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项目名称</w:t>
            </w:r>
          </w:p>
        </w:tc>
        <w:tc>
          <w:tcPr>
            <w:tcW w:w="1417" w:type="dxa"/>
            <w:gridSpan w:val="2"/>
            <w:noWrap w:val="0"/>
            <w:vAlign w:val="center"/>
          </w:tcPr>
          <w:p w14:paraId="079BBCA3">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负责人</w:t>
            </w:r>
          </w:p>
        </w:tc>
        <w:tc>
          <w:tcPr>
            <w:tcW w:w="1421" w:type="dxa"/>
            <w:gridSpan w:val="2"/>
            <w:noWrap w:val="0"/>
            <w:vAlign w:val="center"/>
          </w:tcPr>
          <w:p w14:paraId="1E86D02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所在单位</w:t>
            </w:r>
          </w:p>
        </w:tc>
      </w:tr>
      <w:tr w14:paraId="7879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340F9729">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w:t>
            </w:r>
          </w:p>
        </w:tc>
        <w:tc>
          <w:tcPr>
            <w:tcW w:w="1701" w:type="dxa"/>
            <w:vMerge w:val="restart"/>
            <w:noWrap w:val="0"/>
            <w:vAlign w:val="center"/>
          </w:tcPr>
          <w:p w14:paraId="7E48910D">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科技</w:t>
            </w:r>
            <w:r>
              <w:rPr>
                <w:rFonts w:ascii="仿宋" w:hAnsi="仿宋" w:eastAsia="仿宋" w:cs="仿宋_GB2312"/>
                <w:kern w:val="0"/>
                <w:sz w:val="28"/>
                <w:szCs w:val="28"/>
              </w:rPr>
              <w:t>类</w:t>
            </w:r>
          </w:p>
        </w:tc>
        <w:tc>
          <w:tcPr>
            <w:tcW w:w="5529" w:type="dxa"/>
            <w:gridSpan w:val="2"/>
            <w:noWrap w:val="0"/>
            <w:vAlign w:val="center"/>
          </w:tcPr>
          <w:p w14:paraId="6ABFC796">
            <w:pPr>
              <w:autoSpaceDE w:val="0"/>
              <w:autoSpaceDN w:val="0"/>
              <w:adjustRightInd w:val="0"/>
              <w:snapToGrid w:val="0"/>
              <w:jc w:val="left"/>
              <w:rPr>
                <w:rFonts w:ascii="仿宋" w:hAnsi="仿宋" w:eastAsia="仿宋" w:cs="仿宋_GB2312"/>
                <w:kern w:val="0"/>
                <w:sz w:val="28"/>
                <w:szCs w:val="28"/>
              </w:rPr>
            </w:pPr>
            <w:r>
              <w:rPr>
                <w:rFonts w:hint="eastAsia" w:ascii="仿宋" w:hAnsi="仿宋" w:eastAsia="仿宋" w:cs="仿宋_GB2312"/>
                <w:kern w:val="0"/>
                <w:sz w:val="28"/>
                <w:szCs w:val="28"/>
              </w:rPr>
              <w:t>基于知识蒸馏的姿态估计模型自蒸馏算法研究</w:t>
            </w:r>
          </w:p>
        </w:tc>
        <w:tc>
          <w:tcPr>
            <w:tcW w:w="1417" w:type="dxa"/>
            <w:gridSpan w:val="2"/>
            <w:noWrap w:val="0"/>
            <w:vAlign w:val="center"/>
          </w:tcPr>
          <w:p w14:paraId="3610CA1E">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郭毓锋</w:t>
            </w:r>
          </w:p>
        </w:tc>
        <w:tc>
          <w:tcPr>
            <w:tcW w:w="1421" w:type="dxa"/>
            <w:gridSpan w:val="2"/>
            <w:noWrap w:val="0"/>
            <w:vAlign w:val="center"/>
          </w:tcPr>
          <w:p w14:paraId="14C69BA8">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工程技术学院</w:t>
            </w:r>
          </w:p>
        </w:tc>
      </w:tr>
      <w:tr w14:paraId="11F92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3F806C9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2</w:t>
            </w:r>
          </w:p>
        </w:tc>
        <w:tc>
          <w:tcPr>
            <w:tcW w:w="1701" w:type="dxa"/>
            <w:vMerge w:val="continue"/>
            <w:noWrap w:val="0"/>
            <w:vAlign w:val="center"/>
          </w:tcPr>
          <w:p w14:paraId="1B30A078">
            <w:pPr>
              <w:autoSpaceDE w:val="0"/>
              <w:autoSpaceDN w:val="0"/>
              <w:adjustRightInd w:val="0"/>
              <w:snapToGrid w:val="0"/>
              <w:jc w:val="center"/>
              <w:rPr>
                <w:rFonts w:ascii="仿宋" w:hAnsi="仿宋" w:eastAsia="仿宋" w:cs="仿宋_GB2312"/>
                <w:kern w:val="0"/>
                <w:sz w:val="28"/>
                <w:szCs w:val="28"/>
              </w:rPr>
            </w:pPr>
          </w:p>
        </w:tc>
        <w:tc>
          <w:tcPr>
            <w:tcW w:w="5529" w:type="dxa"/>
            <w:gridSpan w:val="2"/>
            <w:noWrap w:val="0"/>
            <w:vAlign w:val="center"/>
          </w:tcPr>
          <w:p w14:paraId="62AA83EE">
            <w:pPr>
              <w:autoSpaceDE w:val="0"/>
              <w:autoSpaceDN w:val="0"/>
              <w:adjustRightInd w:val="0"/>
              <w:snapToGrid w:val="0"/>
              <w:jc w:val="left"/>
              <w:rPr>
                <w:rFonts w:ascii="仿宋" w:hAnsi="仿宋" w:eastAsia="仿宋" w:cs="仿宋_GB2312"/>
                <w:kern w:val="0"/>
                <w:sz w:val="28"/>
                <w:szCs w:val="28"/>
              </w:rPr>
            </w:pPr>
            <w:r>
              <w:rPr>
                <w:rFonts w:hint="eastAsia" w:ascii="仿宋" w:hAnsi="仿宋" w:eastAsia="仿宋" w:cs="仿宋_GB2312"/>
                <w:kern w:val="0"/>
                <w:sz w:val="28"/>
                <w:szCs w:val="28"/>
              </w:rPr>
              <w:t>智能超表面辅助的太赫兹近场通感一体化技术研究</w:t>
            </w:r>
          </w:p>
        </w:tc>
        <w:tc>
          <w:tcPr>
            <w:tcW w:w="1417" w:type="dxa"/>
            <w:gridSpan w:val="2"/>
            <w:noWrap w:val="0"/>
            <w:vAlign w:val="center"/>
          </w:tcPr>
          <w:p w14:paraId="65D11F6B">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宋体"/>
                <w:bCs/>
                <w:kern w:val="0"/>
                <w:sz w:val="28"/>
                <w:szCs w:val="28"/>
              </w:rPr>
              <w:t>吴巧清</w:t>
            </w:r>
          </w:p>
        </w:tc>
        <w:tc>
          <w:tcPr>
            <w:tcW w:w="1421" w:type="dxa"/>
            <w:gridSpan w:val="2"/>
            <w:noWrap w:val="0"/>
            <w:vAlign w:val="center"/>
          </w:tcPr>
          <w:p w14:paraId="7BF06739">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工程技术学院</w:t>
            </w:r>
          </w:p>
        </w:tc>
      </w:tr>
      <w:tr w14:paraId="449A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5F1F3371">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3</w:t>
            </w:r>
          </w:p>
        </w:tc>
        <w:tc>
          <w:tcPr>
            <w:tcW w:w="1701" w:type="dxa"/>
            <w:vMerge w:val="continue"/>
            <w:noWrap w:val="0"/>
            <w:vAlign w:val="center"/>
          </w:tcPr>
          <w:p w14:paraId="66BA9B1D">
            <w:pPr>
              <w:autoSpaceDE w:val="0"/>
              <w:autoSpaceDN w:val="0"/>
              <w:adjustRightInd w:val="0"/>
              <w:snapToGrid w:val="0"/>
              <w:jc w:val="center"/>
              <w:rPr>
                <w:rFonts w:ascii="仿宋" w:hAnsi="仿宋" w:eastAsia="仿宋" w:cs="仿宋_GB2312"/>
                <w:kern w:val="0"/>
                <w:sz w:val="28"/>
                <w:szCs w:val="28"/>
              </w:rPr>
            </w:pPr>
          </w:p>
        </w:tc>
        <w:tc>
          <w:tcPr>
            <w:tcW w:w="5529" w:type="dxa"/>
            <w:gridSpan w:val="2"/>
            <w:noWrap w:val="0"/>
            <w:vAlign w:val="center"/>
          </w:tcPr>
          <w:p w14:paraId="3ED7C4FF">
            <w:pPr>
              <w:autoSpaceDE w:val="0"/>
              <w:autoSpaceDN w:val="0"/>
              <w:adjustRightInd w:val="0"/>
              <w:snapToGrid w:val="0"/>
              <w:jc w:val="left"/>
              <w:rPr>
                <w:rFonts w:ascii="仿宋" w:hAnsi="仿宋" w:eastAsia="仿宋" w:cs="仿宋_GB2312"/>
                <w:kern w:val="0"/>
                <w:sz w:val="28"/>
                <w:szCs w:val="28"/>
              </w:rPr>
            </w:pPr>
            <w:r>
              <w:rPr>
                <w:rFonts w:hint="eastAsia" w:ascii="仿宋" w:hAnsi="仿宋" w:eastAsia="仿宋" w:cs="仿宋_GB2312"/>
                <w:kern w:val="0"/>
                <w:sz w:val="28"/>
                <w:szCs w:val="28"/>
              </w:rPr>
              <w:t>节能低碳导向下科技研发中心供配电系统规划与电气设计</w:t>
            </w:r>
          </w:p>
        </w:tc>
        <w:tc>
          <w:tcPr>
            <w:tcW w:w="1417" w:type="dxa"/>
            <w:gridSpan w:val="2"/>
            <w:noWrap w:val="0"/>
            <w:vAlign w:val="center"/>
          </w:tcPr>
          <w:p w14:paraId="0BFF5AFC">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林礼明</w:t>
            </w:r>
          </w:p>
        </w:tc>
        <w:tc>
          <w:tcPr>
            <w:tcW w:w="1421" w:type="dxa"/>
            <w:gridSpan w:val="2"/>
            <w:noWrap w:val="0"/>
            <w:vAlign w:val="center"/>
          </w:tcPr>
          <w:p w14:paraId="2E91B6D9">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工程技术学院</w:t>
            </w:r>
          </w:p>
        </w:tc>
      </w:tr>
      <w:tr w14:paraId="2609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73A1DEA8">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4</w:t>
            </w:r>
          </w:p>
        </w:tc>
        <w:tc>
          <w:tcPr>
            <w:tcW w:w="1701" w:type="dxa"/>
            <w:vMerge w:val="continue"/>
            <w:noWrap w:val="0"/>
            <w:vAlign w:val="center"/>
          </w:tcPr>
          <w:p w14:paraId="0A19A347">
            <w:pPr>
              <w:autoSpaceDE w:val="0"/>
              <w:autoSpaceDN w:val="0"/>
              <w:adjustRightInd w:val="0"/>
              <w:snapToGrid w:val="0"/>
              <w:jc w:val="center"/>
              <w:rPr>
                <w:rFonts w:ascii="仿宋" w:hAnsi="仿宋" w:eastAsia="仿宋" w:cs="仿宋_GB2312"/>
                <w:kern w:val="0"/>
                <w:sz w:val="28"/>
                <w:szCs w:val="28"/>
              </w:rPr>
            </w:pPr>
          </w:p>
        </w:tc>
        <w:tc>
          <w:tcPr>
            <w:tcW w:w="5529" w:type="dxa"/>
            <w:gridSpan w:val="2"/>
            <w:noWrap w:val="0"/>
            <w:vAlign w:val="center"/>
          </w:tcPr>
          <w:p w14:paraId="4FED90A5">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深度学习驱动的工业机器人运动学标定技术研究</w:t>
            </w:r>
          </w:p>
        </w:tc>
        <w:tc>
          <w:tcPr>
            <w:tcW w:w="1417" w:type="dxa"/>
            <w:gridSpan w:val="2"/>
            <w:noWrap w:val="0"/>
            <w:vAlign w:val="center"/>
          </w:tcPr>
          <w:p w14:paraId="468DE54C">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袁伟明</w:t>
            </w:r>
          </w:p>
        </w:tc>
        <w:tc>
          <w:tcPr>
            <w:tcW w:w="1421" w:type="dxa"/>
            <w:gridSpan w:val="2"/>
            <w:noWrap w:val="0"/>
            <w:vAlign w:val="center"/>
          </w:tcPr>
          <w:p w14:paraId="4A8094CB">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工程技术学院</w:t>
            </w:r>
          </w:p>
        </w:tc>
      </w:tr>
      <w:tr w14:paraId="5225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552F7C86">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5</w:t>
            </w:r>
          </w:p>
        </w:tc>
        <w:tc>
          <w:tcPr>
            <w:tcW w:w="1701" w:type="dxa"/>
            <w:vMerge w:val="continue"/>
            <w:noWrap w:val="0"/>
            <w:vAlign w:val="center"/>
          </w:tcPr>
          <w:p w14:paraId="374612D7">
            <w:pPr>
              <w:autoSpaceDE w:val="0"/>
              <w:autoSpaceDN w:val="0"/>
              <w:adjustRightInd w:val="0"/>
              <w:snapToGrid w:val="0"/>
              <w:jc w:val="center"/>
              <w:rPr>
                <w:rFonts w:ascii="仿宋" w:hAnsi="仿宋" w:eastAsia="仿宋" w:cs="仿宋_GB2312"/>
                <w:kern w:val="0"/>
                <w:sz w:val="28"/>
                <w:szCs w:val="28"/>
              </w:rPr>
            </w:pPr>
          </w:p>
        </w:tc>
        <w:tc>
          <w:tcPr>
            <w:tcW w:w="5529" w:type="dxa"/>
            <w:gridSpan w:val="2"/>
            <w:noWrap w:val="0"/>
            <w:vAlign w:val="center"/>
          </w:tcPr>
          <w:p w14:paraId="769E090F">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面向编程教学的大语言模型多维度代码自动评分研究</w:t>
            </w:r>
          </w:p>
        </w:tc>
        <w:tc>
          <w:tcPr>
            <w:tcW w:w="1417" w:type="dxa"/>
            <w:gridSpan w:val="2"/>
            <w:noWrap w:val="0"/>
            <w:vAlign w:val="center"/>
          </w:tcPr>
          <w:p w14:paraId="47D60CCA">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林思宁</w:t>
            </w:r>
          </w:p>
        </w:tc>
        <w:tc>
          <w:tcPr>
            <w:tcW w:w="1421" w:type="dxa"/>
            <w:gridSpan w:val="2"/>
            <w:noWrap w:val="0"/>
            <w:vAlign w:val="center"/>
          </w:tcPr>
          <w:p w14:paraId="7CC726CF">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工程技术学院</w:t>
            </w:r>
          </w:p>
        </w:tc>
      </w:tr>
      <w:tr w14:paraId="26A0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6BA4EB9E">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6</w:t>
            </w:r>
          </w:p>
        </w:tc>
        <w:tc>
          <w:tcPr>
            <w:tcW w:w="1701" w:type="dxa"/>
            <w:vMerge w:val="restart"/>
            <w:noWrap w:val="0"/>
            <w:vAlign w:val="center"/>
          </w:tcPr>
          <w:p w14:paraId="4656F46F">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社科类</w:t>
            </w:r>
          </w:p>
        </w:tc>
        <w:tc>
          <w:tcPr>
            <w:tcW w:w="5529" w:type="dxa"/>
            <w:gridSpan w:val="2"/>
            <w:noWrap w:val="0"/>
            <w:vAlign w:val="center"/>
          </w:tcPr>
          <w:p w14:paraId="4667FDB2">
            <w:pPr>
              <w:autoSpaceDE w:val="0"/>
              <w:autoSpaceDN w:val="0"/>
              <w:adjustRightInd w:val="0"/>
              <w:snapToGrid w:val="0"/>
              <w:jc w:val="left"/>
              <w:rPr>
                <w:rFonts w:ascii="仿宋" w:hAnsi="仿宋" w:eastAsia="仿宋" w:cs="仿宋_GB2312"/>
                <w:kern w:val="0"/>
                <w:sz w:val="28"/>
                <w:szCs w:val="28"/>
              </w:rPr>
            </w:pPr>
            <w:r>
              <w:rPr>
                <w:rFonts w:hint="eastAsia" w:ascii="仿宋" w:hAnsi="仿宋" w:eastAsia="仿宋" w:cs="仿宋_GB2312"/>
                <w:kern w:val="0"/>
                <w:sz w:val="28"/>
                <w:szCs w:val="28"/>
              </w:rPr>
              <w:t>大中小学思政课一体化视域下泉州侨批资源的育人价值与实践路径研究</w:t>
            </w:r>
          </w:p>
        </w:tc>
        <w:tc>
          <w:tcPr>
            <w:tcW w:w="1417" w:type="dxa"/>
            <w:gridSpan w:val="2"/>
            <w:noWrap w:val="0"/>
            <w:vAlign w:val="center"/>
          </w:tcPr>
          <w:p w14:paraId="3E2514DD">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蔡惠丽</w:t>
            </w:r>
          </w:p>
        </w:tc>
        <w:tc>
          <w:tcPr>
            <w:tcW w:w="1421" w:type="dxa"/>
            <w:gridSpan w:val="2"/>
            <w:noWrap w:val="0"/>
            <w:vAlign w:val="center"/>
          </w:tcPr>
          <w:p w14:paraId="40E14177">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马克思主义学院</w:t>
            </w:r>
          </w:p>
        </w:tc>
      </w:tr>
      <w:tr w14:paraId="1234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29E01DCF">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7</w:t>
            </w:r>
          </w:p>
        </w:tc>
        <w:tc>
          <w:tcPr>
            <w:tcW w:w="1701" w:type="dxa"/>
            <w:vMerge w:val="continue"/>
            <w:noWrap w:val="0"/>
            <w:vAlign w:val="center"/>
          </w:tcPr>
          <w:p w14:paraId="0EF6AF29">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41138C5B">
            <w:pPr>
              <w:autoSpaceDE w:val="0"/>
              <w:autoSpaceDN w:val="0"/>
              <w:adjustRightInd w:val="0"/>
              <w:snapToGrid w:val="0"/>
              <w:jc w:val="left"/>
              <w:rPr>
                <w:rFonts w:ascii="仿宋" w:hAnsi="仿宋" w:eastAsia="仿宋" w:cs="仿宋_GB2312"/>
                <w:kern w:val="0"/>
                <w:sz w:val="28"/>
                <w:szCs w:val="28"/>
              </w:rPr>
            </w:pPr>
            <w:r>
              <w:rPr>
                <w:rFonts w:hint="eastAsia" w:ascii="仿宋" w:hAnsi="仿宋" w:eastAsia="仿宋" w:cs="仿宋_GB2312"/>
                <w:kern w:val="0"/>
                <w:sz w:val="28"/>
                <w:szCs w:val="28"/>
              </w:rPr>
              <w:t>生育保险扩面对泉州灵活就业人员职工医保参保的影响机制研究</w:t>
            </w:r>
          </w:p>
        </w:tc>
        <w:tc>
          <w:tcPr>
            <w:tcW w:w="1417" w:type="dxa"/>
            <w:gridSpan w:val="2"/>
            <w:noWrap w:val="0"/>
            <w:vAlign w:val="center"/>
          </w:tcPr>
          <w:p w14:paraId="6FFAB30D">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曾勇惠</w:t>
            </w:r>
          </w:p>
        </w:tc>
        <w:tc>
          <w:tcPr>
            <w:tcW w:w="1421" w:type="dxa"/>
            <w:gridSpan w:val="2"/>
            <w:noWrap w:val="0"/>
            <w:vAlign w:val="center"/>
          </w:tcPr>
          <w:p w14:paraId="20894320">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管理学院</w:t>
            </w:r>
          </w:p>
        </w:tc>
      </w:tr>
      <w:tr w14:paraId="774A7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587F686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8</w:t>
            </w:r>
          </w:p>
        </w:tc>
        <w:tc>
          <w:tcPr>
            <w:tcW w:w="1701" w:type="dxa"/>
            <w:vMerge w:val="continue"/>
            <w:noWrap w:val="0"/>
            <w:vAlign w:val="center"/>
          </w:tcPr>
          <w:p w14:paraId="39AEAD24">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2E1C9789">
            <w:pPr>
              <w:autoSpaceDE w:val="0"/>
              <w:autoSpaceDN w:val="0"/>
              <w:adjustRightInd w:val="0"/>
              <w:snapToGrid w:val="0"/>
              <w:rPr>
                <w:rFonts w:ascii="仿宋" w:hAnsi="仿宋" w:eastAsia="仿宋" w:cs="仿宋_GB2312"/>
                <w:kern w:val="0"/>
                <w:sz w:val="28"/>
                <w:szCs w:val="28"/>
              </w:rPr>
            </w:pPr>
            <w:r>
              <w:rPr>
                <w:rFonts w:hint="eastAsia" w:ascii="仿宋" w:hAnsi="仿宋" w:eastAsia="仿宋" w:cs="仿宋_GB2312"/>
                <w:kern w:val="0"/>
                <w:sz w:val="28"/>
                <w:szCs w:val="28"/>
              </w:rPr>
              <w:t>乡村治理中村规民约与法律衔接的困境及纾解——基于泉州市优秀村规民约的文本考察</w:t>
            </w:r>
          </w:p>
        </w:tc>
        <w:tc>
          <w:tcPr>
            <w:tcW w:w="1417" w:type="dxa"/>
            <w:gridSpan w:val="2"/>
            <w:noWrap w:val="0"/>
            <w:vAlign w:val="center"/>
          </w:tcPr>
          <w:p w14:paraId="68E6B26D">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刘晓雨</w:t>
            </w:r>
          </w:p>
        </w:tc>
        <w:tc>
          <w:tcPr>
            <w:tcW w:w="1421" w:type="dxa"/>
            <w:gridSpan w:val="2"/>
            <w:noWrap w:val="0"/>
            <w:vAlign w:val="center"/>
          </w:tcPr>
          <w:p w14:paraId="6669140E">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法学院</w:t>
            </w:r>
          </w:p>
        </w:tc>
      </w:tr>
      <w:tr w14:paraId="42F1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7435C4C2">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9</w:t>
            </w:r>
          </w:p>
        </w:tc>
        <w:tc>
          <w:tcPr>
            <w:tcW w:w="1701" w:type="dxa"/>
            <w:vMerge w:val="continue"/>
            <w:noWrap w:val="0"/>
            <w:vAlign w:val="center"/>
          </w:tcPr>
          <w:p w14:paraId="274DA371">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229BF9DA">
            <w:pPr>
              <w:autoSpaceDE w:val="0"/>
              <w:autoSpaceDN w:val="0"/>
              <w:adjustRightInd w:val="0"/>
              <w:snapToGrid w:val="0"/>
              <w:jc w:val="left"/>
              <w:rPr>
                <w:rFonts w:ascii="仿宋" w:hAnsi="仿宋" w:eastAsia="仿宋" w:cs="仿宋_GB2312"/>
                <w:kern w:val="0"/>
                <w:sz w:val="28"/>
                <w:szCs w:val="28"/>
              </w:rPr>
            </w:pPr>
            <w:r>
              <w:rPr>
                <w:rFonts w:hint="eastAsia" w:ascii="仿宋" w:hAnsi="仿宋" w:eastAsia="仿宋" w:cs="仿宋_GB2312"/>
                <w:kern w:val="0"/>
                <w:sz w:val="28"/>
                <w:szCs w:val="28"/>
              </w:rPr>
              <w:t>“AI+”与绿色升级双轮驱动下泉州民营经济创新发展“晋江经验”的路径研究</w:t>
            </w:r>
          </w:p>
        </w:tc>
        <w:tc>
          <w:tcPr>
            <w:tcW w:w="1417" w:type="dxa"/>
            <w:gridSpan w:val="2"/>
            <w:noWrap w:val="0"/>
            <w:vAlign w:val="center"/>
          </w:tcPr>
          <w:p w14:paraId="0E6376AF">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李响</w:t>
            </w:r>
          </w:p>
        </w:tc>
        <w:tc>
          <w:tcPr>
            <w:tcW w:w="1421" w:type="dxa"/>
            <w:gridSpan w:val="2"/>
            <w:noWrap w:val="0"/>
            <w:vAlign w:val="center"/>
          </w:tcPr>
          <w:p w14:paraId="782EB7C8">
            <w:pPr>
              <w:autoSpaceDE w:val="0"/>
              <w:autoSpaceDN w:val="0"/>
              <w:adjustRightInd w:val="0"/>
              <w:snapToGrid w:val="0"/>
              <w:jc w:val="center"/>
              <w:rPr>
                <w:rFonts w:ascii="仿宋" w:hAnsi="仿宋" w:eastAsia="仿宋" w:cs="仿宋_GB2312"/>
                <w:kern w:val="0"/>
                <w:sz w:val="28"/>
                <w:szCs w:val="28"/>
              </w:rPr>
            </w:pPr>
            <w:r>
              <w:rPr>
                <w:rFonts w:hint="eastAsia" w:ascii="仿宋" w:hAnsi="仿宋" w:eastAsia="仿宋" w:cs="仿宋_GB2312"/>
                <w:kern w:val="0"/>
                <w:sz w:val="28"/>
                <w:szCs w:val="28"/>
              </w:rPr>
              <w:t>经济学院</w:t>
            </w:r>
          </w:p>
        </w:tc>
      </w:tr>
      <w:tr w14:paraId="6BA3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3BF84D8E">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10</w:t>
            </w:r>
          </w:p>
        </w:tc>
        <w:tc>
          <w:tcPr>
            <w:tcW w:w="1701" w:type="dxa"/>
            <w:vMerge w:val="continue"/>
            <w:noWrap w:val="0"/>
            <w:vAlign w:val="center"/>
          </w:tcPr>
          <w:p w14:paraId="3DACE617">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7B04AB39">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具身传播视域下AIGC驱动泉州文旅传播的实践路径研究</w:t>
            </w:r>
          </w:p>
        </w:tc>
        <w:tc>
          <w:tcPr>
            <w:tcW w:w="1417" w:type="dxa"/>
            <w:gridSpan w:val="2"/>
            <w:noWrap w:val="0"/>
            <w:vAlign w:val="center"/>
          </w:tcPr>
          <w:p w14:paraId="6541E437">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陈心怡</w:t>
            </w:r>
          </w:p>
        </w:tc>
        <w:tc>
          <w:tcPr>
            <w:tcW w:w="1421" w:type="dxa"/>
            <w:gridSpan w:val="2"/>
            <w:noWrap w:val="0"/>
            <w:vAlign w:val="center"/>
          </w:tcPr>
          <w:p w14:paraId="1E60616C">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人文学院</w:t>
            </w:r>
          </w:p>
        </w:tc>
      </w:tr>
      <w:tr w14:paraId="5909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198874A6">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11</w:t>
            </w:r>
          </w:p>
        </w:tc>
        <w:tc>
          <w:tcPr>
            <w:tcW w:w="1701" w:type="dxa"/>
            <w:vMerge w:val="continue"/>
            <w:noWrap w:val="0"/>
            <w:vAlign w:val="center"/>
          </w:tcPr>
          <w:p w14:paraId="10B11F84">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221681AF">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数字环境下青年意识形态安全风险及其防范</w:t>
            </w:r>
          </w:p>
        </w:tc>
        <w:tc>
          <w:tcPr>
            <w:tcW w:w="1417" w:type="dxa"/>
            <w:gridSpan w:val="2"/>
            <w:noWrap w:val="0"/>
            <w:vAlign w:val="center"/>
          </w:tcPr>
          <w:p w14:paraId="464A5847">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王茂伟</w:t>
            </w:r>
          </w:p>
        </w:tc>
        <w:tc>
          <w:tcPr>
            <w:tcW w:w="1421" w:type="dxa"/>
            <w:gridSpan w:val="2"/>
            <w:noWrap w:val="0"/>
            <w:vAlign w:val="center"/>
          </w:tcPr>
          <w:p w14:paraId="0C1BA0E9">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学校办公室</w:t>
            </w:r>
          </w:p>
        </w:tc>
      </w:tr>
      <w:tr w14:paraId="45DB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66A8A57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12</w:t>
            </w:r>
          </w:p>
        </w:tc>
        <w:tc>
          <w:tcPr>
            <w:tcW w:w="1701" w:type="dxa"/>
            <w:vMerge w:val="continue"/>
            <w:noWrap w:val="0"/>
            <w:vAlign w:val="center"/>
          </w:tcPr>
          <w:p w14:paraId="20049CA0">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141422E1">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泉州“海丝”侨批档案文物资源的价值计量与活化利用研究</w:t>
            </w:r>
          </w:p>
        </w:tc>
        <w:tc>
          <w:tcPr>
            <w:tcW w:w="1417" w:type="dxa"/>
            <w:gridSpan w:val="2"/>
            <w:noWrap w:val="0"/>
            <w:vAlign w:val="center"/>
          </w:tcPr>
          <w:p w14:paraId="35426DC5">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刘东方</w:t>
            </w:r>
          </w:p>
        </w:tc>
        <w:tc>
          <w:tcPr>
            <w:tcW w:w="1421" w:type="dxa"/>
            <w:gridSpan w:val="2"/>
            <w:noWrap w:val="0"/>
            <w:vAlign w:val="center"/>
          </w:tcPr>
          <w:p w14:paraId="362738FA">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会计学院</w:t>
            </w:r>
          </w:p>
        </w:tc>
      </w:tr>
      <w:tr w14:paraId="2D87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2C39DC97">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13</w:t>
            </w:r>
          </w:p>
        </w:tc>
        <w:tc>
          <w:tcPr>
            <w:tcW w:w="1701" w:type="dxa"/>
            <w:vMerge w:val="continue"/>
            <w:noWrap w:val="0"/>
            <w:vAlign w:val="center"/>
          </w:tcPr>
          <w:p w14:paraId="0ADF8C97">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273EFC58">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AI赋能泉州海丝文献英译与传播研究——以《刺桐风华录》为中心的对比分析</w:t>
            </w:r>
          </w:p>
        </w:tc>
        <w:tc>
          <w:tcPr>
            <w:tcW w:w="1417" w:type="dxa"/>
            <w:gridSpan w:val="2"/>
            <w:noWrap w:val="0"/>
            <w:vAlign w:val="center"/>
          </w:tcPr>
          <w:p w14:paraId="0376BEF5">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林梅媛</w:t>
            </w:r>
          </w:p>
        </w:tc>
        <w:tc>
          <w:tcPr>
            <w:tcW w:w="1421" w:type="dxa"/>
            <w:gridSpan w:val="2"/>
            <w:noWrap w:val="0"/>
            <w:vAlign w:val="center"/>
          </w:tcPr>
          <w:p w14:paraId="07A1B563">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外国语学院</w:t>
            </w:r>
          </w:p>
        </w:tc>
      </w:tr>
      <w:tr w14:paraId="0CA0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4BFB86CD">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14</w:t>
            </w:r>
          </w:p>
        </w:tc>
        <w:tc>
          <w:tcPr>
            <w:tcW w:w="1701" w:type="dxa"/>
            <w:vMerge w:val="continue"/>
            <w:noWrap w:val="0"/>
            <w:vAlign w:val="center"/>
          </w:tcPr>
          <w:p w14:paraId="13299243">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34AFA7B3">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侨力代际整合赋能海丝侨村治理现代化的机制研究</w:t>
            </w:r>
          </w:p>
        </w:tc>
        <w:tc>
          <w:tcPr>
            <w:tcW w:w="1417" w:type="dxa"/>
            <w:gridSpan w:val="2"/>
            <w:noWrap w:val="0"/>
            <w:vAlign w:val="center"/>
          </w:tcPr>
          <w:p w14:paraId="30B2F232">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施茜</w:t>
            </w:r>
          </w:p>
        </w:tc>
        <w:tc>
          <w:tcPr>
            <w:tcW w:w="1421" w:type="dxa"/>
            <w:gridSpan w:val="2"/>
            <w:noWrap w:val="0"/>
            <w:vAlign w:val="center"/>
          </w:tcPr>
          <w:p w14:paraId="698D6E5F">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马克思主义学院</w:t>
            </w:r>
          </w:p>
        </w:tc>
      </w:tr>
      <w:tr w14:paraId="6389B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03087B0A">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序号</w:t>
            </w:r>
          </w:p>
        </w:tc>
        <w:tc>
          <w:tcPr>
            <w:tcW w:w="1701" w:type="dxa"/>
            <w:vMerge w:val="continue"/>
            <w:noWrap w:val="0"/>
            <w:vAlign w:val="center"/>
          </w:tcPr>
          <w:p w14:paraId="61C81091">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112F46BE">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sz w:val="28"/>
                <w:szCs w:val="28"/>
              </w:rPr>
              <w:t>项目名称</w:t>
            </w:r>
          </w:p>
        </w:tc>
        <w:tc>
          <w:tcPr>
            <w:tcW w:w="1417" w:type="dxa"/>
            <w:gridSpan w:val="2"/>
            <w:noWrap w:val="0"/>
            <w:vAlign w:val="center"/>
          </w:tcPr>
          <w:p w14:paraId="2B444472">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sz w:val="28"/>
                <w:szCs w:val="28"/>
              </w:rPr>
              <w:t>负责人</w:t>
            </w:r>
          </w:p>
        </w:tc>
        <w:tc>
          <w:tcPr>
            <w:tcW w:w="1421" w:type="dxa"/>
            <w:gridSpan w:val="2"/>
            <w:noWrap w:val="0"/>
            <w:vAlign w:val="center"/>
          </w:tcPr>
          <w:p w14:paraId="5C7F2DCC">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sz w:val="28"/>
                <w:szCs w:val="28"/>
              </w:rPr>
              <w:t>所在单位</w:t>
            </w:r>
          </w:p>
        </w:tc>
      </w:tr>
      <w:tr w14:paraId="1987D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36A7CAF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15</w:t>
            </w:r>
          </w:p>
        </w:tc>
        <w:tc>
          <w:tcPr>
            <w:tcW w:w="1701" w:type="dxa"/>
            <w:vMerge w:val="restart"/>
            <w:tcBorders>
              <w:top w:val="nil"/>
            </w:tcBorders>
            <w:noWrap w:val="0"/>
            <w:vAlign w:val="center"/>
          </w:tcPr>
          <w:p w14:paraId="05CF3440">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0092803F">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《农民日报》中“新农人”形象建构的话语分析研究（2013-2025）</w:t>
            </w:r>
          </w:p>
        </w:tc>
        <w:tc>
          <w:tcPr>
            <w:tcW w:w="1417" w:type="dxa"/>
            <w:gridSpan w:val="2"/>
            <w:noWrap w:val="0"/>
            <w:vAlign w:val="center"/>
          </w:tcPr>
          <w:p w14:paraId="7A539952">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施颖</w:t>
            </w:r>
          </w:p>
        </w:tc>
        <w:tc>
          <w:tcPr>
            <w:tcW w:w="1421" w:type="dxa"/>
            <w:gridSpan w:val="2"/>
            <w:noWrap w:val="0"/>
            <w:vAlign w:val="center"/>
          </w:tcPr>
          <w:p w14:paraId="1B7ACCB6">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人文学院</w:t>
            </w:r>
          </w:p>
        </w:tc>
      </w:tr>
      <w:tr w14:paraId="4FFF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004FC13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16</w:t>
            </w:r>
          </w:p>
        </w:tc>
        <w:tc>
          <w:tcPr>
            <w:tcW w:w="1701" w:type="dxa"/>
            <w:vMerge w:val="continue"/>
            <w:tcBorders>
              <w:top w:val="nil"/>
            </w:tcBorders>
            <w:noWrap w:val="0"/>
            <w:vAlign w:val="center"/>
          </w:tcPr>
          <w:p w14:paraId="0FB7583B">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19EA30EC">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泉州市九大千亿产业数字化绿色化协同转型对企业全要素生产率的影响机制研究</w:t>
            </w:r>
          </w:p>
        </w:tc>
        <w:tc>
          <w:tcPr>
            <w:tcW w:w="1417" w:type="dxa"/>
            <w:gridSpan w:val="2"/>
            <w:noWrap w:val="0"/>
            <w:vAlign w:val="center"/>
          </w:tcPr>
          <w:p w14:paraId="0BB5655E">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许红妹</w:t>
            </w:r>
          </w:p>
        </w:tc>
        <w:tc>
          <w:tcPr>
            <w:tcW w:w="1421" w:type="dxa"/>
            <w:gridSpan w:val="2"/>
            <w:noWrap w:val="0"/>
            <w:vAlign w:val="center"/>
          </w:tcPr>
          <w:p w14:paraId="2262D634">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经济学院</w:t>
            </w:r>
          </w:p>
        </w:tc>
      </w:tr>
      <w:tr w14:paraId="6960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6DCE3AE9">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17</w:t>
            </w:r>
          </w:p>
        </w:tc>
        <w:tc>
          <w:tcPr>
            <w:tcW w:w="1701" w:type="dxa"/>
            <w:vMerge w:val="continue"/>
            <w:tcBorders>
              <w:top w:val="nil"/>
            </w:tcBorders>
            <w:noWrap w:val="0"/>
            <w:vAlign w:val="center"/>
          </w:tcPr>
          <w:p w14:paraId="6CB3ED02">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3650B4F7">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技术赋能与场景重构：AIGC时代泉州县域城市形象的传播机制研究</w:t>
            </w:r>
          </w:p>
        </w:tc>
        <w:tc>
          <w:tcPr>
            <w:tcW w:w="1417" w:type="dxa"/>
            <w:gridSpan w:val="2"/>
            <w:noWrap w:val="0"/>
            <w:vAlign w:val="center"/>
          </w:tcPr>
          <w:p w14:paraId="2845896D">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吴萍萍</w:t>
            </w:r>
          </w:p>
        </w:tc>
        <w:tc>
          <w:tcPr>
            <w:tcW w:w="1421" w:type="dxa"/>
            <w:gridSpan w:val="2"/>
            <w:noWrap w:val="0"/>
            <w:vAlign w:val="center"/>
          </w:tcPr>
          <w:p w14:paraId="7F2E2B74">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人文学院</w:t>
            </w:r>
          </w:p>
        </w:tc>
      </w:tr>
      <w:tr w14:paraId="1C3E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2B0B78F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18</w:t>
            </w:r>
          </w:p>
        </w:tc>
        <w:tc>
          <w:tcPr>
            <w:tcW w:w="1701" w:type="dxa"/>
            <w:vMerge w:val="continue"/>
            <w:tcBorders>
              <w:top w:val="nil"/>
            </w:tcBorders>
            <w:noWrap w:val="0"/>
            <w:vAlign w:val="center"/>
          </w:tcPr>
          <w:p w14:paraId="3933182C">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399CBA58">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数实融合视域下侨文化传承与民办高校思想政治教育的耦合共生研究</w:t>
            </w:r>
          </w:p>
        </w:tc>
        <w:tc>
          <w:tcPr>
            <w:tcW w:w="1417" w:type="dxa"/>
            <w:gridSpan w:val="2"/>
            <w:noWrap w:val="0"/>
            <w:vAlign w:val="center"/>
          </w:tcPr>
          <w:p w14:paraId="69F566A7">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赵雨鑫</w:t>
            </w:r>
          </w:p>
        </w:tc>
        <w:tc>
          <w:tcPr>
            <w:tcW w:w="1421" w:type="dxa"/>
            <w:gridSpan w:val="2"/>
            <w:noWrap w:val="0"/>
            <w:vAlign w:val="center"/>
          </w:tcPr>
          <w:p w14:paraId="0E29222C">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马克思主义学院</w:t>
            </w:r>
          </w:p>
        </w:tc>
      </w:tr>
      <w:tr w14:paraId="2D9F9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2300A3BF">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19</w:t>
            </w:r>
          </w:p>
        </w:tc>
        <w:tc>
          <w:tcPr>
            <w:tcW w:w="1701" w:type="dxa"/>
            <w:vMerge w:val="continue"/>
            <w:tcBorders>
              <w:top w:val="nil"/>
            </w:tcBorders>
            <w:noWrap w:val="0"/>
            <w:vAlign w:val="center"/>
          </w:tcPr>
          <w:p w14:paraId="05DE5E63">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365494FD">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数智化背景下泉州主流媒体的高质量发展研究</w:t>
            </w:r>
          </w:p>
        </w:tc>
        <w:tc>
          <w:tcPr>
            <w:tcW w:w="1417" w:type="dxa"/>
            <w:gridSpan w:val="2"/>
            <w:noWrap w:val="0"/>
            <w:vAlign w:val="center"/>
          </w:tcPr>
          <w:p w14:paraId="7DEFC714">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陈奕霖</w:t>
            </w:r>
          </w:p>
        </w:tc>
        <w:tc>
          <w:tcPr>
            <w:tcW w:w="1421" w:type="dxa"/>
            <w:gridSpan w:val="2"/>
            <w:noWrap w:val="0"/>
            <w:vAlign w:val="center"/>
          </w:tcPr>
          <w:p w14:paraId="488781A0">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人文学院</w:t>
            </w:r>
          </w:p>
        </w:tc>
      </w:tr>
      <w:tr w14:paraId="2F695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75" w:type="dxa"/>
            <w:noWrap w:val="0"/>
            <w:vAlign w:val="center"/>
          </w:tcPr>
          <w:p w14:paraId="23F19AB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20</w:t>
            </w:r>
          </w:p>
        </w:tc>
        <w:tc>
          <w:tcPr>
            <w:tcW w:w="1701" w:type="dxa"/>
            <w:vMerge w:val="continue"/>
            <w:tcBorders>
              <w:top w:val="nil"/>
            </w:tcBorders>
            <w:noWrap w:val="0"/>
            <w:vAlign w:val="center"/>
          </w:tcPr>
          <w:p w14:paraId="5849F929">
            <w:pPr>
              <w:autoSpaceDE w:val="0"/>
              <w:autoSpaceDN w:val="0"/>
              <w:adjustRightInd w:val="0"/>
              <w:snapToGrid w:val="0"/>
              <w:jc w:val="left"/>
              <w:rPr>
                <w:rFonts w:ascii="仿宋" w:hAnsi="仿宋" w:eastAsia="仿宋" w:cs="仿宋_GB2312"/>
                <w:kern w:val="0"/>
                <w:sz w:val="28"/>
                <w:szCs w:val="28"/>
              </w:rPr>
            </w:pPr>
          </w:p>
        </w:tc>
        <w:tc>
          <w:tcPr>
            <w:tcW w:w="5529" w:type="dxa"/>
            <w:gridSpan w:val="2"/>
            <w:noWrap w:val="0"/>
            <w:vAlign w:val="center"/>
          </w:tcPr>
          <w:p w14:paraId="64AAE6B6">
            <w:pPr>
              <w:autoSpaceDE w:val="0"/>
              <w:autoSpaceDN w:val="0"/>
              <w:adjustRightInd w:val="0"/>
              <w:snapToGrid w:val="0"/>
              <w:jc w:val="left"/>
              <w:rPr>
                <w:rFonts w:hint="eastAsia" w:ascii="仿宋" w:hAnsi="仿宋" w:eastAsia="仿宋" w:cs="仿宋_GB2312"/>
                <w:kern w:val="0"/>
                <w:sz w:val="28"/>
                <w:szCs w:val="28"/>
              </w:rPr>
            </w:pPr>
            <w:r>
              <w:rPr>
                <w:rFonts w:hint="eastAsia" w:ascii="仿宋" w:hAnsi="仿宋" w:eastAsia="仿宋" w:cs="仿宋_GB2312"/>
                <w:kern w:val="0"/>
                <w:sz w:val="28"/>
                <w:szCs w:val="28"/>
              </w:rPr>
              <w:t>新大众文艺视域下谷子经济的情感结构与媒介叙事研究</w:t>
            </w:r>
          </w:p>
        </w:tc>
        <w:tc>
          <w:tcPr>
            <w:tcW w:w="1417" w:type="dxa"/>
            <w:gridSpan w:val="2"/>
            <w:noWrap w:val="0"/>
            <w:vAlign w:val="center"/>
          </w:tcPr>
          <w:p w14:paraId="57EEDC5B">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蔡雅欣</w:t>
            </w:r>
          </w:p>
        </w:tc>
        <w:tc>
          <w:tcPr>
            <w:tcW w:w="1421" w:type="dxa"/>
            <w:gridSpan w:val="2"/>
            <w:noWrap w:val="0"/>
            <w:vAlign w:val="center"/>
          </w:tcPr>
          <w:p w14:paraId="60D164D8">
            <w:pPr>
              <w:autoSpaceDE w:val="0"/>
              <w:autoSpaceDN w:val="0"/>
              <w:adjustRightInd w:val="0"/>
              <w:snapToGrid w:val="0"/>
              <w:jc w:val="center"/>
              <w:rPr>
                <w:rFonts w:hint="eastAsia" w:ascii="仿宋" w:hAnsi="仿宋" w:eastAsia="仿宋" w:cs="仿宋_GB2312"/>
                <w:kern w:val="0"/>
                <w:sz w:val="28"/>
                <w:szCs w:val="28"/>
              </w:rPr>
            </w:pPr>
            <w:r>
              <w:rPr>
                <w:rFonts w:hint="eastAsia" w:ascii="仿宋" w:hAnsi="仿宋" w:eastAsia="仿宋" w:cs="仿宋_GB2312"/>
                <w:kern w:val="0"/>
                <w:sz w:val="28"/>
                <w:szCs w:val="28"/>
              </w:rPr>
              <w:t>人文学院</w:t>
            </w:r>
          </w:p>
        </w:tc>
      </w:tr>
      <w:tr w14:paraId="183E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0743" w:type="dxa"/>
            <w:gridSpan w:val="8"/>
            <w:noWrap w:val="0"/>
            <w:vAlign w:val="top"/>
          </w:tcPr>
          <w:p w14:paraId="6C5101A7">
            <w:pPr>
              <w:pStyle w:val="4"/>
              <w:spacing w:line="480" w:lineRule="auto"/>
              <w:jc w:val="center"/>
              <w:rPr>
                <w:rFonts w:ascii="仿宋" w:hAnsi="仿宋" w:eastAsia="仿宋"/>
                <w:b/>
                <w:sz w:val="36"/>
                <w:szCs w:val="36"/>
              </w:rPr>
            </w:pPr>
            <w:r>
              <w:rPr>
                <w:rFonts w:hint="eastAsia" w:ascii="仿宋" w:hAnsi="仿宋" w:eastAsia="仿宋" w:cs="仿宋_GB2312"/>
                <w:b/>
                <w:bCs/>
                <w:sz w:val="32"/>
                <w:szCs w:val="32"/>
              </w:rPr>
              <w:t>校级绿色低碳研究专项项目</w:t>
            </w:r>
          </w:p>
        </w:tc>
      </w:tr>
      <w:tr w14:paraId="24E7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08B3B4AA">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序号</w:t>
            </w:r>
          </w:p>
        </w:tc>
        <w:tc>
          <w:tcPr>
            <w:tcW w:w="1725" w:type="dxa"/>
            <w:gridSpan w:val="2"/>
            <w:noWrap w:val="0"/>
            <w:vAlign w:val="center"/>
          </w:tcPr>
          <w:p w14:paraId="5867E40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项目类别</w:t>
            </w:r>
          </w:p>
        </w:tc>
        <w:tc>
          <w:tcPr>
            <w:tcW w:w="5535" w:type="dxa"/>
            <w:gridSpan w:val="2"/>
            <w:noWrap w:val="0"/>
            <w:vAlign w:val="center"/>
          </w:tcPr>
          <w:p w14:paraId="22C8EAF2">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项目名称</w:t>
            </w:r>
          </w:p>
        </w:tc>
        <w:tc>
          <w:tcPr>
            <w:tcW w:w="1395" w:type="dxa"/>
            <w:gridSpan w:val="2"/>
            <w:noWrap w:val="0"/>
            <w:vAlign w:val="center"/>
          </w:tcPr>
          <w:p w14:paraId="156E5AF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负责人</w:t>
            </w:r>
          </w:p>
        </w:tc>
        <w:tc>
          <w:tcPr>
            <w:tcW w:w="1413" w:type="dxa"/>
            <w:noWrap w:val="0"/>
            <w:vAlign w:val="center"/>
          </w:tcPr>
          <w:p w14:paraId="3A244AA1">
            <w:pPr>
              <w:pStyle w:val="4"/>
              <w:adjustRightInd w:val="0"/>
              <w:snapToGrid w:val="0"/>
              <w:jc w:val="center"/>
              <w:rPr>
                <w:rFonts w:hint="eastAsia" w:ascii="仿宋" w:hAnsi="仿宋" w:eastAsia="仿宋" w:cs="仿宋_GB2312"/>
                <w:b/>
                <w:bCs/>
                <w:sz w:val="32"/>
                <w:szCs w:val="32"/>
              </w:rPr>
            </w:pPr>
            <w:r>
              <w:rPr>
                <w:rFonts w:hint="eastAsia" w:ascii="仿宋" w:hAnsi="仿宋" w:eastAsia="仿宋" w:cs="仿宋_GB2312"/>
                <w:sz w:val="28"/>
                <w:szCs w:val="28"/>
              </w:rPr>
              <w:t>所在单位</w:t>
            </w:r>
          </w:p>
        </w:tc>
      </w:tr>
      <w:tr w14:paraId="6993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7292C6E7">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1</w:t>
            </w:r>
          </w:p>
        </w:tc>
        <w:tc>
          <w:tcPr>
            <w:tcW w:w="1725" w:type="dxa"/>
            <w:gridSpan w:val="2"/>
            <w:vMerge w:val="restart"/>
            <w:noWrap w:val="0"/>
            <w:vAlign w:val="center"/>
          </w:tcPr>
          <w:p w14:paraId="367DBAC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重点项目</w:t>
            </w:r>
          </w:p>
        </w:tc>
        <w:tc>
          <w:tcPr>
            <w:tcW w:w="5535" w:type="dxa"/>
            <w:gridSpan w:val="2"/>
            <w:noWrap w:val="0"/>
            <w:vAlign w:val="center"/>
          </w:tcPr>
          <w:p w14:paraId="32AD6C3D">
            <w:pPr>
              <w:pStyle w:val="4"/>
              <w:adjustRightInd w:val="0"/>
              <w:snapToGrid w:val="0"/>
              <w:jc w:val="both"/>
              <w:rPr>
                <w:rFonts w:hint="eastAsia" w:ascii="仿宋" w:hAnsi="仿宋" w:eastAsia="仿宋" w:cs="仿宋_GB2312"/>
                <w:sz w:val="28"/>
                <w:szCs w:val="28"/>
              </w:rPr>
            </w:pPr>
            <w:r>
              <w:rPr>
                <w:rFonts w:hint="eastAsia" w:ascii="仿宋" w:hAnsi="仿宋" w:eastAsia="仿宋" w:cs="仿宋_GB2312"/>
                <w:sz w:val="28"/>
                <w:szCs w:val="28"/>
              </w:rPr>
              <w:t>福建省新质生产力对物流业绿色效率与区域经济韧性的影响机制研究</w:t>
            </w:r>
          </w:p>
        </w:tc>
        <w:tc>
          <w:tcPr>
            <w:tcW w:w="1395" w:type="dxa"/>
            <w:gridSpan w:val="2"/>
            <w:noWrap w:val="0"/>
            <w:vAlign w:val="center"/>
          </w:tcPr>
          <w:p w14:paraId="4A9C155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李征</w:t>
            </w:r>
          </w:p>
        </w:tc>
        <w:tc>
          <w:tcPr>
            <w:tcW w:w="1413" w:type="dxa"/>
            <w:noWrap w:val="0"/>
            <w:vAlign w:val="center"/>
          </w:tcPr>
          <w:p w14:paraId="137595E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管理学院</w:t>
            </w:r>
          </w:p>
        </w:tc>
      </w:tr>
      <w:tr w14:paraId="10D4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3CD7114E">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2</w:t>
            </w:r>
          </w:p>
        </w:tc>
        <w:tc>
          <w:tcPr>
            <w:tcW w:w="1725" w:type="dxa"/>
            <w:gridSpan w:val="2"/>
            <w:vMerge w:val="continue"/>
            <w:noWrap w:val="0"/>
            <w:vAlign w:val="center"/>
          </w:tcPr>
          <w:p w14:paraId="72B135B3">
            <w:pPr>
              <w:pStyle w:val="4"/>
              <w:adjustRightInd w:val="0"/>
              <w:snapToGrid w:val="0"/>
              <w:jc w:val="center"/>
              <w:rPr>
                <w:rFonts w:hint="eastAsia" w:ascii="仿宋" w:hAnsi="仿宋" w:eastAsia="仿宋" w:cs="仿宋_GB2312"/>
                <w:sz w:val="28"/>
                <w:szCs w:val="28"/>
              </w:rPr>
            </w:pPr>
          </w:p>
        </w:tc>
        <w:tc>
          <w:tcPr>
            <w:tcW w:w="5535" w:type="dxa"/>
            <w:gridSpan w:val="2"/>
            <w:noWrap w:val="0"/>
            <w:vAlign w:val="center"/>
          </w:tcPr>
          <w:p w14:paraId="1DE7795D">
            <w:pPr>
              <w:pStyle w:val="4"/>
              <w:adjustRightInd w:val="0"/>
              <w:snapToGrid w:val="0"/>
              <w:jc w:val="both"/>
              <w:rPr>
                <w:rFonts w:hint="eastAsia" w:ascii="仿宋" w:hAnsi="仿宋" w:eastAsia="仿宋" w:cs="仿宋_GB2312"/>
                <w:sz w:val="28"/>
                <w:szCs w:val="28"/>
              </w:rPr>
            </w:pPr>
            <w:r>
              <w:rPr>
                <w:rFonts w:hint="eastAsia" w:ascii="仿宋" w:hAnsi="仿宋" w:eastAsia="仿宋" w:cs="仿宋_GB2312"/>
                <w:sz w:val="28"/>
                <w:szCs w:val="28"/>
              </w:rPr>
              <w:t>绿色低碳品牌城市评价指标体系构建与实证检验</w:t>
            </w:r>
          </w:p>
        </w:tc>
        <w:tc>
          <w:tcPr>
            <w:tcW w:w="1395" w:type="dxa"/>
            <w:gridSpan w:val="2"/>
            <w:noWrap w:val="0"/>
            <w:vAlign w:val="center"/>
          </w:tcPr>
          <w:p w14:paraId="29F0A7D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陈嘉骏</w:t>
            </w:r>
          </w:p>
        </w:tc>
        <w:tc>
          <w:tcPr>
            <w:tcW w:w="1413" w:type="dxa"/>
            <w:noWrap w:val="0"/>
            <w:vAlign w:val="center"/>
          </w:tcPr>
          <w:p w14:paraId="2AC3CFA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工程技术学院</w:t>
            </w:r>
          </w:p>
        </w:tc>
      </w:tr>
      <w:tr w14:paraId="619F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46C103A8">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3</w:t>
            </w:r>
          </w:p>
        </w:tc>
        <w:tc>
          <w:tcPr>
            <w:tcW w:w="1725" w:type="dxa"/>
            <w:gridSpan w:val="2"/>
            <w:vMerge w:val="restart"/>
            <w:noWrap w:val="0"/>
            <w:vAlign w:val="center"/>
          </w:tcPr>
          <w:p w14:paraId="350521E9">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一般项目</w:t>
            </w:r>
          </w:p>
        </w:tc>
        <w:tc>
          <w:tcPr>
            <w:tcW w:w="5535" w:type="dxa"/>
            <w:gridSpan w:val="2"/>
            <w:noWrap w:val="0"/>
            <w:vAlign w:val="center"/>
          </w:tcPr>
          <w:p w14:paraId="42A02030">
            <w:pPr>
              <w:pStyle w:val="4"/>
              <w:adjustRightInd w:val="0"/>
              <w:snapToGrid w:val="0"/>
              <w:jc w:val="both"/>
              <w:rPr>
                <w:rFonts w:hint="eastAsia" w:ascii="仿宋" w:hAnsi="仿宋" w:eastAsia="仿宋" w:cs="仿宋_GB2312"/>
                <w:sz w:val="28"/>
                <w:szCs w:val="28"/>
              </w:rPr>
            </w:pPr>
            <w:r>
              <w:rPr>
                <w:rFonts w:hint="eastAsia" w:ascii="仿宋" w:hAnsi="仿宋" w:eastAsia="仿宋" w:cs="仿宋_GB2312"/>
                <w:sz w:val="28"/>
                <w:szCs w:val="28"/>
              </w:rPr>
              <w:t>协同治理视域下民营经济主导型城市绿色低碳品牌建设的政策工具创新——“晋江经验”案例研究与价值推广</w:t>
            </w:r>
          </w:p>
        </w:tc>
        <w:tc>
          <w:tcPr>
            <w:tcW w:w="1395" w:type="dxa"/>
            <w:gridSpan w:val="2"/>
            <w:noWrap w:val="0"/>
            <w:vAlign w:val="center"/>
          </w:tcPr>
          <w:p w14:paraId="4B4DD08A">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林晓晓</w:t>
            </w:r>
          </w:p>
        </w:tc>
        <w:tc>
          <w:tcPr>
            <w:tcW w:w="1413" w:type="dxa"/>
            <w:noWrap w:val="0"/>
            <w:vAlign w:val="center"/>
          </w:tcPr>
          <w:p w14:paraId="3A5DC449">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管理学院</w:t>
            </w:r>
          </w:p>
        </w:tc>
      </w:tr>
      <w:tr w14:paraId="17651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4E71A668">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4</w:t>
            </w:r>
          </w:p>
        </w:tc>
        <w:tc>
          <w:tcPr>
            <w:tcW w:w="1725" w:type="dxa"/>
            <w:gridSpan w:val="2"/>
            <w:vMerge w:val="continue"/>
            <w:noWrap w:val="0"/>
            <w:vAlign w:val="center"/>
          </w:tcPr>
          <w:p w14:paraId="574F9849">
            <w:pPr>
              <w:pStyle w:val="4"/>
              <w:adjustRightInd w:val="0"/>
              <w:snapToGrid w:val="0"/>
              <w:jc w:val="center"/>
              <w:rPr>
                <w:rFonts w:hint="eastAsia" w:ascii="仿宋" w:hAnsi="仿宋" w:eastAsia="仿宋" w:cs="仿宋_GB2312"/>
                <w:sz w:val="28"/>
                <w:szCs w:val="28"/>
              </w:rPr>
            </w:pPr>
          </w:p>
        </w:tc>
        <w:tc>
          <w:tcPr>
            <w:tcW w:w="5535" w:type="dxa"/>
            <w:gridSpan w:val="2"/>
            <w:noWrap w:val="0"/>
            <w:vAlign w:val="center"/>
          </w:tcPr>
          <w:p w14:paraId="3C17BB90">
            <w:pPr>
              <w:pStyle w:val="4"/>
              <w:adjustRightInd w:val="0"/>
              <w:snapToGrid w:val="0"/>
              <w:rPr>
                <w:rFonts w:hint="eastAsia" w:ascii="仿宋" w:hAnsi="仿宋" w:eastAsia="仿宋" w:cs="仿宋_GB2312"/>
                <w:sz w:val="28"/>
                <w:szCs w:val="28"/>
              </w:rPr>
            </w:pPr>
            <w:r>
              <w:rPr>
                <w:rFonts w:hint="eastAsia" w:ascii="仿宋" w:hAnsi="仿宋" w:eastAsia="仿宋" w:cs="仿宋_GB2312"/>
                <w:sz w:val="28"/>
                <w:szCs w:val="28"/>
              </w:rPr>
              <w:t>泉州市制造业绿色创新与智能技术融合发展的机制与路径研究</w:t>
            </w:r>
          </w:p>
        </w:tc>
        <w:tc>
          <w:tcPr>
            <w:tcW w:w="1395" w:type="dxa"/>
            <w:gridSpan w:val="2"/>
            <w:noWrap w:val="0"/>
            <w:vAlign w:val="center"/>
          </w:tcPr>
          <w:p w14:paraId="3BA01F8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张士杰</w:t>
            </w:r>
          </w:p>
        </w:tc>
        <w:tc>
          <w:tcPr>
            <w:tcW w:w="1413" w:type="dxa"/>
            <w:noWrap w:val="0"/>
            <w:vAlign w:val="center"/>
          </w:tcPr>
          <w:p w14:paraId="176E334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管理学院</w:t>
            </w:r>
          </w:p>
        </w:tc>
      </w:tr>
      <w:tr w14:paraId="2BEA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0E5F2872">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5</w:t>
            </w:r>
          </w:p>
        </w:tc>
        <w:tc>
          <w:tcPr>
            <w:tcW w:w="1725" w:type="dxa"/>
            <w:gridSpan w:val="2"/>
            <w:vMerge w:val="continue"/>
            <w:noWrap w:val="0"/>
            <w:vAlign w:val="center"/>
          </w:tcPr>
          <w:p w14:paraId="1ED85FA3">
            <w:pPr>
              <w:pStyle w:val="4"/>
              <w:adjustRightInd w:val="0"/>
              <w:snapToGrid w:val="0"/>
              <w:jc w:val="center"/>
              <w:rPr>
                <w:rFonts w:hint="eastAsia" w:ascii="仿宋" w:hAnsi="仿宋" w:eastAsia="仿宋" w:cs="仿宋_GB2312"/>
                <w:sz w:val="28"/>
                <w:szCs w:val="28"/>
              </w:rPr>
            </w:pPr>
          </w:p>
        </w:tc>
        <w:tc>
          <w:tcPr>
            <w:tcW w:w="5535" w:type="dxa"/>
            <w:gridSpan w:val="2"/>
            <w:noWrap w:val="0"/>
            <w:vAlign w:val="center"/>
          </w:tcPr>
          <w:p w14:paraId="6BC9C47F">
            <w:pPr>
              <w:pStyle w:val="4"/>
              <w:adjustRightInd w:val="0"/>
              <w:snapToGrid w:val="0"/>
              <w:rPr>
                <w:rFonts w:hint="eastAsia" w:ascii="仿宋" w:hAnsi="仿宋" w:eastAsia="仿宋" w:cs="仿宋_GB2312"/>
                <w:sz w:val="28"/>
                <w:szCs w:val="28"/>
              </w:rPr>
            </w:pPr>
            <w:r>
              <w:rPr>
                <w:rFonts w:hint="eastAsia" w:ascii="仿宋" w:hAnsi="仿宋" w:eastAsia="仿宋" w:cs="仿宋_GB2312"/>
                <w:sz w:val="28"/>
                <w:szCs w:val="28"/>
              </w:rPr>
              <w:t>泉州制造业绿色低碳转型路径研究——基于“绿色技改+新能源”融合视角</w:t>
            </w:r>
          </w:p>
        </w:tc>
        <w:tc>
          <w:tcPr>
            <w:tcW w:w="1395" w:type="dxa"/>
            <w:gridSpan w:val="2"/>
            <w:noWrap w:val="0"/>
            <w:vAlign w:val="center"/>
          </w:tcPr>
          <w:p w14:paraId="4940FD33">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邓巧妹</w:t>
            </w:r>
          </w:p>
        </w:tc>
        <w:tc>
          <w:tcPr>
            <w:tcW w:w="1413" w:type="dxa"/>
            <w:noWrap w:val="0"/>
            <w:vAlign w:val="center"/>
          </w:tcPr>
          <w:p w14:paraId="7825DFA4">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教务部</w:t>
            </w:r>
          </w:p>
        </w:tc>
      </w:tr>
      <w:tr w14:paraId="0224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49A747EF">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6</w:t>
            </w:r>
          </w:p>
        </w:tc>
        <w:tc>
          <w:tcPr>
            <w:tcW w:w="1725" w:type="dxa"/>
            <w:gridSpan w:val="2"/>
            <w:vMerge w:val="continue"/>
            <w:noWrap w:val="0"/>
            <w:vAlign w:val="center"/>
          </w:tcPr>
          <w:p w14:paraId="26CBD93E">
            <w:pPr>
              <w:pStyle w:val="4"/>
              <w:adjustRightInd w:val="0"/>
              <w:snapToGrid w:val="0"/>
              <w:jc w:val="center"/>
              <w:rPr>
                <w:rFonts w:hint="eastAsia" w:ascii="仿宋" w:hAnsi="仿宋" w:eastAsia="仿宋" w:cs="仿宋_GB2312"/>
                <w:sz w:val="28"/>
                <w:szCs w:val="28"/>
              </w:rPr>
            </w:pPr>
          </w:p>
        </w:tc>
        <w:tc>
          <w:tcPr>
            <w:tcW w:w="5535" w:type="dxa"/>
            <w:gridSpan w:val="2"/>
            <w:noWrap w:val="0"/>
            <w:vAlign w:val="center"/>
          </w:tcPr>
          <w:p w14:paraId="0EE6E663">
            <w:pPr>
              <w:pStyle w:val="4"/>
              <w:adjustRightInd w:val="0"/>
              <w:snapToGrid w:val="0"/>
              <w:rPr>
                <w:rFonts w:hint="eastAsia" w:ascii="仿宋" w:hAnsi="仿宋" w:eastAsia="仿宋" w:cs="仿宋_GB2312"/>
                <w:sz w:val="28"/>
                <w:szCs w:val="28"/>
              </w:rPr>
            </w:pPr>
            <w:r>
              <w:rPr>
                <w:rFonts w:hint="eastAsia" w:ascii="仿宋" w:hAnsi="仿宋" w:eastAsia="仿宋" w:cs="仿宋_GB2312"/>
                <w:sz w:val="28"/>
                <w:szCs w:val="28"/>
              </w:rPr>
              <w:t>数字技术赋能泉州绿色低碳品牌城市治理研究——基于DML因果识别</w:t>
            </w:r>
          </w:p>
        </w:tc>
        <w:tc>
          <w:tcPr>
            <w:tcW w:w="1395" w:type="dxa"/>
            <w:gridSpan w:val="2"/>
            <w:noWrap w:val="0"/>
            <w:vAlign w:val="center"/>
          </w:tcPr>
          <w:p w14:paraId="6208B900">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李龙龙</w:t>
            </w:r>
          </w:p>
        </w:tc>
        <w:tc>
          <w:tcPr>
            <w:tcW w:w="1413" w:type="dxa"/>
            <w:noWrap w:val="0"/>
            <w:vAlign w:val="center"/>
          </w:tcPr>
          <w:p w14:paraId="39040D98">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教务部</w:t>
            </w:r>
          </w:p>
        </w:tc>
      </w:tr>
      <w:tr w14:paraId="0DBA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2DB176E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7</w:t>
            </w:r>
          </w:p>
        </w:tc>
        <w:tc>
          <w:tcPr>
            <w:tcW w:w="1725" w:type="dxa"/>
            <w:gridSpan w:val="2"/>
            <w:vMerge w:val="continue"/>
            <w:noWrap w:val="0"/>
            <w:vAlign w:val="center"/>
          </w:tcPr>
          <w:p w14:paraId="2D995816">
            <w:pPr>
              <w:pStyle w:val="4"/>
              <w:adjustRightInd w:val="0"/>
              <w:snapToGrid w:val="0"/>
              <w:jc w:val="center"/>
              <w:rPr>
                <w:rFonts w:hint="eastAsia" w:ascii="仿宋" w:hAnsi="仿宋" w:eastAsia="仿宋" w:cs="仿宋_GB2312"/>
                <w:sz w:val="28"/>
                <w:szCs w:val="28"/>
              </w:rPr>
            </w:pPr>
          </w:p>
        </w:tc>
        <w:tc>
          <w:tcPr>
            <w:tcW w:w="5535" w:type="dxa"/>
            <w:gridSpan w:val="2"/>
            <w:noWrap w:val="0"/>
            <w:vAlign w:val="center"/>
          </w:tcPr>
          <w:p w14:paraId="74CE660D">
            <w:pPr>
              <w:pStyle w:val="4"/>
              <w:adjustRightInd w:val="0"/>
              <w:snapToGrid w:val="0"/>
              <w:rPr>
                <w:rFonts w:hint="eastAsia" w:ascii="仿宋" w:hAnsi="仿宋" w:eastAsia="仿宋" w:cs="仿宋_GB2312"/>
                <w:sz w:val="28"/>
                <w:szCs w:val="28"/>
              </w:rPr>
            </w:pPr>
            <w:r>
              <w:rPr>
                <w:rFonts w:hint="eastAsia" w:ascii="仿宋" w:hAnsi="仿宋" w:eastAsia="仿宋" w:cs="仿宋_GB2312"/>
                <w:sz w:val="28"/>
                <w:szCs w:val="28"/>
              </w:rPr>
              <w:t>绿色转型背景下泉州民营企业ESG人才发展战略研究</w:t>
            </w:r>
          </w:p>
        </w:tc>
        <w:tc>
          <w:tcPr>
            <w:tcW w:w="1395" w:type="dxa"/>
            <w:gridSpan w:val="2"/>
            <w:noWrap w:val="0"/>
            <w:vAlign w:val="center"/>
          </w:tcPr>
          <w:p w14:paraId="4D1A1642">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刘健</w:t>
            </w:r>
          </w:p>
        </w:tc>
        <w:tc>
          <w:tcPr>
            <w:tcW w:w="1413" w:type="dxa"/>
            <w:noWrap w:val="0"/>
            <w:vAlign w:val="center"/>
          </w:tcPr>
          <w:p w14:paraId="534893AB">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管理学院</w:t>
            </w:r>
          </w:p>
        </w:tc>
      </w:tr>
      <w:tr w14:paraId="5623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675" w:type="dxa"/>
            <w:noWrap w:val="0"/>
            <w:vAlign w:val="center"/>
          </w:tcPr>
          <w:p w14:paraId="29886677">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8</w:t>
            </w:r>
          </w:p>
        </w:tc>
        <w:tc>
          <w:tcPr>
            <w:tcW w:w="1725" w:type="dxa"/>
            <w:gridSpan w:val="2"/>
            <w:vMerge w:val="continue"/>
            <w:noWrap w:val="0"/>
            <w:vAlign w:val="center"/>
          </w:tcPr>
          <w:p w14:paraId="057FD3AC">
            <w:pPr>
              <w:pStyle w:val="4"/>
              <w:adjustRightInd w:val="0"/>
              <w:snapToGrid w:val="0"/>
              <w:jc w:val="center"/>
              <w:rPr>
                <w:rFonts w:hint="eastAsia" w:ascii="仿宋" w:hAnsi="仿宋" w:eastAsia="仿宋" w:cs="仿宋_GB2312"/>
                <w:sz w:val="28"/>
                <w:szCs w:val="28"/>
              </w:rPr>
            </w:pPr>
          </w:p>
        </w:tc>
        <w:tc>
          <w:tcPr>
            <w:tcW w:w="5535" w:type="dxa"/>
            <w:gridSpan w:val="2"/>
            <w:noWrap w:val="0"/>
            <w:vAlign w:val="center"/>
          </w:tcPr>
          <w:p w14:paraId="0E09F6F3">
            <w:pPr>
              <w:pStyle w:val="4"/>
              <w:adjustRightInd w:val="0"/>
              <w:snapToGrid w:val="0"/>
              <w:rPr>
                <w:rFonts w:hint="eastAsia" w:ascii="仿宋" w:hAnsi="仿宋" w:eastAsia="仿宋" w:cs="仿宋_GB2312"/>
                <w:sz w:val="28"/>
                <w:szCs w:val="28"/>
              </w:rPr>
            </w:pPr>
            <w:r>
              <w:rPr>
                <w:rFonts w:hint="eastAsia" w:ascii="仿宋" w:hAnsi="仿宋" w:eastAsia="仿宋" w:cs="仿宋_GB2312"/>
                <w:sz w:val="28"/>
                <w:szCs w:val="28"/>
              </w:rPr>
              <w:t>数字技术赋能下泉州城市绿色低碳品牌竞争力提升路径研</w:t>
            </w:r>
          </w:p>
        </w:tc>
        <w:tc>
          <w:tcPr>
            <w:tcW w:w="1395" w:type="dxa"/>
            <w:gridSpan w:val="2"/>
            <w:noWrap w:val="0"/>
            <w:vAlign w:val="center"/>
          </w:tcPr>
          <w:p w14:paraId="70C49188">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谢晓佳</w:t>
            </w:r>
          </w:p>
        </w:tc>
        <w:tc>
          <w:tcPr>
            <w:tcW w:w="1413" w:type="dxa"/>
            <w:noWrap w:val="0"/>
            <w:vAlign w:val="center"/>
          </w:tcPr>
          <w:p w14:paraId="657161F5">
            <w:pPr>
              <w:pStyle w:val="4"/>
              <w:adjustRightInd w:val="0"/>
              <w:snapToGrid w:val="0"/>
              <w:jc w:val="center"/>
              <w:rPr>
                <w:rFonts w:hint="eastAsia" w:ascii="仿宋" w:hAnsi="仿宋" w:eastAsia="仿宋" w:cs="仿宋_GB2312"/>
                <w:sz w:val="28"/>
                <w:szCs w:val="28"/>
              </w:rPr>
            </w:pPr>
            <w:r>
              <w:rPr>
                <w:rFonts w:hint="eastAsia" w:ascii="仿宋" w:hAnsi="仿宋" w:eastAsia="仿宋" w:cs="仿宋_GB2312"/>
                <w:sz w:val="28"/>
                <w:szCs w:val="28"/>
              </w:rPr>
              <w:t>管理学院</w:t>
            </w:r>
          </w:p>
        </w:tc>
      </w:tr>
    </w:tbl>
    <w:p w14:paraId="51BA439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382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ascii="Calibri" w:hAnsi="Calibri" w:eastAsia="宋体"/>
      <w:kern w:val="0"/>
      <w:sz w:val="20"/>
      <w:szCs w:val="20"/>
    </w:rPr>
  </w:style>
  <w:style w:type="paragraph" w:styleId="3">
    <w:name w:val="Body Text"/>
    <w:basedOn w:val="1"/>
    <w:uiPriority w:val="0"/>
    <w:pPr>
      <w:spacing w:after="120"/>
    </w:pPr>
  </w:style>
  <w:style w:type="paragraph" w:styleId="4">
    <w:name w:val="Normal (Web)"/>
    <w:basedOn w:val="1"/>
    <w:qFormat/>
    <w:uiPriority w:val="0"/>
    <w:pPr>
      <w:widowControl/>
      <w:jc w:val="left"/>
    </w:pPr>
    <w:rPr>
      <w:rFonts w:ascii="宋体" w:hAnsi="宋体" w:cs="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2026-05-07T02:19:16Z</dcterms:created>
  <dc:creator>Administrator</dc:creator>
  <cp:lastModifiedBy>ruirui</cp:lastModifiedBy>
  <dcterms:modified xsi:type="dcterms:W3CDTF">2026-05-07T02:23:10Z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eyJoZGlkIjoiYmRiMWJjMjFlOTVhZDY3ZjlmODA5ZThjYjc5ZGVlNDIiLCJ1c2VySWQiOiIxODE1MTY0ODgwIn0=</vt:lpwstr>
  </property>
  <property fmtid="{D5CDD505-2E9C-101B-9397-08002B2CF9AE}" pid="4" name="ICV">
    <vt:lpwstr>825C835C41334D8E89C66CBC07E48D15_12</vt:lpwstr>
  </property>
</Properties>
</file>