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B0605">
      <w:pPr>
        <w:pStyle w:val="3"/>
        <w:adjustRightInd w:val="0"/>
        <w:snapToGrid w:val="0"/>
        <w:jc w:val="both"/>
        <w:rPr>
          <w:rFonts w:hint="eastAsia" w:ascii="仿宋" w:hAnsi="仿宋" w:eastAsia="仿宋"/>
          <w:sz w:val="32"/>
          <w:szCs w:val="32"/>
        </w:rPr>
      </w:pPr>
      <w:r>
        <w:rPr>
          <w:rFonts w:hint="eastAsia" w:ascii="仿宋" w:hAnsi="仿宋" w:eastAsia="仿宋"/>
          <w:sz w:val="32"/>
          <w:szCs w:val="32"/>
        </w:rPr>
        <w:t>附件</w:t>
      </w:r>
    </w:p>
    <w:p w14:paraId="656C9340">
      <w:pPr>
        <w:pStyle w:val="3"/>
        <w:adjustRightInd w:val="0"/>
        <w:snapToGrid w:val="0"/>
        <w:jc w:val="both"/>
        <w:rPr>
          <w:rFonts w:hint="eastAsia" w:ascii="仿宋" w:hAnsi="仿宋" w:eastAsia="仿宋"/>
          <w:sz w:val="32"/>
          <w:szCs w:val="32"/>
        </w:rPr>
      </w:pPr>
    </w:p>
    <w:p w14:paraId="7E6CF6EA">
      <w:pPr>
        <w:jc w:val="center"/>
        <w:rPr>
          <w:rFonts w:ascii="黑体" w:hAnsi="黑体" w:eastAsia="黑体"/>
          <w:b/>
          <w:color w:val="000000"/>
          <w:sz w:val="44"/>
          <w:szCs w:val="44"/>
        </w:rPr>
      </w:pPr>
      <w:r>
        <w:rPr>
          <w:rFonts w:hint="eastAsia" w:ascii="黑体" w:hAnsi="黑体" w:eastAsia="黑体"/>
          <w:sz w:val="44"/>
          <w:szCs w:val="44"/>
        </w:rPr>
        <w:t>202</w:t>
      </w:r>
      <w:r>
        <w:rPr>
          <w:rFonts w:hint="eastAsia" w:ascii="黑体" w:hAnsi="黑体" w:eastAsia="黑体"/>
          <w:sz w:val="44"/>
          <w:szCs w:val="44"/>
          <w:lang w:val="en-US" w:eastAsia="zh-CN"/>
        </w:rPr>
        <w:t>6</w:t>
      </w:r>
      <w:r>
        <w:rPr>
          <w:rFonts w:hint="eastAsia" w:ascii="黑体" w:hAnsi="黑体" w:eastAsia="黑体"/>
          <w:sz w:val="44"/>
          <w:szCs w:val="44"/>
        </w:rPr>
        <w:t>年度福建省教育系统哲学社会科学研究项目</w:t>
      </w:r>
      <w:r>
        <w:rPr>
          <w:rFonts w:ascii="黑体" w:hAnsi="黑体" w:eastAsia="黑体"/>
          <w:sz w:val="44"/>
          <w:szCs w:val="44"/>
        </w:rPr>
        <w:t>—</w:t>
      </w:r>
      <w:r>
        <w:rPr>
          <w:rFonts w:hint="eastAsia" w:ascii="黑体" w:hAnsi="黑体" w:eastAsia="黑体"/>
          <w:sz w:val="44"/>
          <w:szCs w:val="44"/>
        </w:rPr>
        <w:t>省中青年教师教育科研项目（社科类）一般项目推荐名单</w:t>
      </w:r>
    </w:p>
    <w:p w14:paraId="67E9F37F">
      <w:pPr>
        <w:pStyle w:val="3"/>
        <w:spacing w:line="480" w:lineRule="auto"/>
        <w:jc w:val="center"/>
        <w:rPr>
          <w:rFonts w:hint="eastAsia" w:ascii="仿宋" w:hAnsi="仿宋" w:eastAsia="仿宋"/>
          <w:b/>
          <w:color w:val="000000"/>
          <w:sz w:val="36"/>
          <w:szCs w:val="36"/>
        </w:rPr>
      </w:pPr>
    </w:p>
    <w:tbl>
      <w:tblPr>
        <w:tblStyle w:val="4"/>
        <w:tblW w:w="9073" w:type="dxa"/>
        <w:tblInd w:w="-176" w:type="dxa"/>
        <w:tblLayout w:type="autofit"/>
        <w:tblCellMar>
          <w:top w:w="0" w:type="dxa"/>
          <w:left w:w="108" w:type="dxa"/>
          <w:bottom w:w="0" w:type="dxa"/>
          <w:right w:w="108" w:type="dxa"/>
        </w:tblCellMar>
      </w:tblPr>
      <w:tblGrid>
        <w:gridCol w:w="807"/>
        <w:gridCol w:w="5006"/>
        <w:gridCol w:w="1417"/>
        <w:gridCol w:w="1843"/>
      </w:tblGrid>
      <w:tr w14:paraId="39C351C3">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329D3349">
            <w:pPr>
              <w:widowControl/>
              <w:jc w:val="center"/>
              <w:textAlignment w:val="center"/>
              <w:rPr>
                <w:rFonts w:hint="eastAsia" w:ascii="仿宋" w:hAnsi="仿宋" w:eastAsia="仿宋" w:cs="宋体"/>
                <w:b/>
                <w:bCs/>
                <w:color w:val="000000"/>
                <w:sz w:val="24"/>
              </w:rPr>
            </w:pPr>
            <w:r>
              <w:rPr>
                <w:rFonts w:hint="eastAsia" w:ascii="仿宋" w:hAnsi="仿宋" w:eastAsia="仿宋" w:cs="宋体"/>
                <w:b/>
                <w:bCs/>
                <w:color w:val="000000"/>
                <w:kern w:val="0"/>
                <w:sz w:val="24"/>
                <w:lang w:bidi="ar"/>
              </w:rPr>
              <w:t>序号</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5A1C9B5A">
            <w:pPr>
              <w:widowControl/>
              <w:jc w:val="center"/>
              <w:textAlignment w:val="center"/>
              <w:rPr>
                <w:rFonts w:hint="eastAsia" w:ascii="仿宋" w:hAnsi="仿宋" w:eastAsia="仿宋" w:cs="宋体"/>
                <w:b/>
                <w:bCs/>
                <w:color w:val="000000"/>
                <w:sz w:val="24"/>
              </w:rPr>
            </w:pPr>
            <w:r>
              <w:rPr>
                <w:rFonts w:hint="eastAsia" w:ascii="仿宋" w:hAnsi="仿宋" w:eastAsia="仿宋" w:cs="宋体"/>
                <w:b/>
                <w:bCs/>
                <w:color w:val="000000"/>
                <w:kern w:val="0"/>
                <w:sz w:val="24"/>
                <w:lang w:bidi="ar"/>
              </w:rPr>
              <w:t>项目名称</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2DCD5231">
            <w:pPr>
              <w:widowControl/>
              <w:jc w:val="center"/>
              <w:textAlignment w:val="center"/>
              <w:rPr>
                <w:rFonts w:hint="eastAsia" w:ascii="仿宋" w:hAnsi="仿宋" w:eastAsia="仿宋" w:cs="宋体"/>
                <w:b/>
                <w:bCs/>
                <w:color w:val="000000"/>
                <w:sz w:val="24"/>
              </w:rPr>
            </w:pPr>
            <w:r>
              <w:rPr>
                <w:rFonts w:hint="eastAsia" w:ascii="仿宋" w:hAnsi="仿宋" w:eastAsia="仿宋" w:cs="宋体"/>
                <w:b/>
                <w:bCs/>
                <w:color w:val="000000"/>
                <w:kern w:val="0"/>
                <w:sz w:val="24"/>
                <w:lang w:bidi="ar"/>
              </w:rPr>
              <w:t>负责人</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32422F3">
            <w:pPr>
              <w:widowControl/>
              <w:jc w:val="center"/>
              <w:textAlignment w:val="center"/>
              <w:rPr>
                <w:rFonts w:hint="eastAsia" w:ascii="仿宋" w:hAnsi="仿宋" w:eastAsia="仿宋" w:cs="宋体"/>
                <w:b/>
                <w:bCs/>
                <w:color w:val="000000"/>
                <w:sz w:val="24"/>
              </w:rPr>
            </w:pPr>
            <w:r>
              <w:rPr>
                <w:rFonts w:hint="eastAsia" w:ascii="仿宋" w:hAnsi="仿宋" w:eastAsia="仿宋" w:cs="宋体"/>
                <w:b/>
                <w:bCs/>
                <w:color w:val="000000"/>
                <w:kern w:val="0"/>
                <w:sz w:val="24"/>
                <w:lang w:bidi="ar"/>
              </w:rPr>
              <w:t>所在学院</w:t>
            </w:r>
          </w:p>
        </w:tc>
      </w:tr>
      <w:tr w14:paraId="7849C69C">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662317E">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1</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7FAEEEC0">
            <w:pPr>
              <w:adjustRightInd w:val="0"/>
              <w:snapToGrid w:val="0"/>
              <w:jc w:val="left"/>
              <w:rPr>
                <w:rFonts w:hint="eastAsia" w:ascii="仿宋" w:hAnsi="仿宋" w:eastAsia="仿宋"/>
                <w:sz w:val="28"/>
                <w:szCs w:val="28"/>
              </w:rPr>
            </w:pPr>
            <w:r>
              <w:rPr>
                <w:rFonts w:hint="eastAsia" w:ascii="仿宋" w:hAnsi="仿宋" w:eastAsia="仿宋" w:cs="宋体"/>
                <w:bCs/>
                <w:kern w:val="0"/>
                <w:sz w:val="28"/>
                <w:szCs w:val="28"/>
              </w:rPr>
              <w:t>侨商网络驱动福建民营经济绿色竞争力培育的路径研究</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103D6033">
            <w:pPr>
              <w:adjustRightInd w:val="0"/>
              <w:snapToGrid w:val="0"/>
              <w:jc w:val="center"/>
              <w:rPr>
                <w:rFonts w:hint="eastAsia" w:ascii="仿宋" w:hAnsi="仿宋" w:eastAsia="仿宋"/>
                <w:sz w:val="28"/>
                <w:szCs w:val="28"/>
              </w:rPr>
            </w:pPr>
            <w:r>
              <w:rPr>
                <w:rFonts w:hint="eastAsia" w:ascii="仿宋" w:hAnsi="仿宋" w:eastAsia="仿宋" w:cs="宋体"/>
                <w:bCs/>
                <w:kern w:val="0"/>
                <w:sz w:val="28"/>
                <w:szCs w:val="28"/>
              </w:rPr>
              <w:t>林晓晓</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442DF43">
            <w:pPr>
              <w:adjustRightInd w:val="0"/>
              <w:snapToGrid w:val="0"/>
              <w:jc w:val="center"/>
              <w:rPr>
                <w:rFonts w:ascii="仿宋" w:hAnsi="仿宋" w:eastAsia="仿宋"/>
                <w:sz w:val="28"/>
                <w:szCs w:val="28"/>
              </w:rPr>
            </w:pPr>
            <w:r>
              <w:rPr>
                <w:rFonts w:hint="eastAsia" w:ascii="仿宋" w:hAnsi="仿宋" w:eastAsia="仿宋"/>
                <w:sz w:val="28"/>
                <w:szCs w:val="28"/>
              </w:rPr>
              <w:t>管理学院</w:t>
            </w:r>
          </w:p>
        </w:tc>
      </w:tr>
      <w:tr w14:paraId="519BFB9B">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10299212">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2</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2A95A428">
            <w:pPr>
              <w:adjustRightInd w:val="0"/>
              <w:snapToGrid w:val="0"/>
              <w:jc w:val="left"/>
              <w:rPr>
                <w:rFonts w:hint="eastAsia" w:ascii="仿宋" w:hAnsi="仿宋" w:eastAsia="仿宋"/>
                <w:sz w:val="28"/>
                <w:szCs w:val="28"/>
              </w:rPr>
            </w:pPr>
            <w:r>
              <w:rPr>
                <w:rFonts w:hint="eastAsia" w:ascii="仿宋" w:hAnsi="仿宋" w:eastAsia="仿宋"/>
                <w:sz w:val="28"/>
                <w:szCs w:val="28"/>
              </w:rPr>
              <w:t>展演成本视角下福建非遗数字传播的可见性差异研究</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31E2664B">
            <w:pPr>
              <w:adjustRightInd w:val="0"/>
              <w:snapToGrid w:val="0"/>
              <w:jc w:val="center"/>
              <w:rPr>
                <w:rFonts w:hint="eastAsia" w:ascii="仿宋" w:hAnsi="仿宋" w:eastAsia="仿宋"/>
                <w:sz w:val="28"/>
                <w:szCs w:val="28"/>
              </w:rPr>
            </w:pPr>
            <w:r>
              <w:rPr>
                <w:rFonts w:hint="eastAsia" w:ascii="仿宋" w:hAnsi="仿宋" w:eastAsia="仿宋"/>
                <w:sz w:val="28"/>
                <w:szCs w:val="28"/>
              </w:rPr>
              <w:t>项玲</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E1199F9">
            <w:pPr>
              <w:adjustRightInd w:val="0"/>
              <w:snapToGrid w:val="0"/>
              <w:jc w:val="center"/>
              <w:rPr>
                <w:rFonts w:hint="eastAsia" w:ascii="仿宋" w:hAnsi="仿宋" w:eastAsia="仿宋"/>
                <w:sz w:val="28"/>
                <w:szCs w:val="28"/>
              </w:rPr>
            </w:pPr>
            <w:r>
              <w:rPr>
                <w:rFonts w:hint="eastAsia" w:ascii="仿宋" w:hAnsi="仿宋" w:eastAsia="仿宋"/>
                <w:sz w:val="28"/>
                <w:szCs w:val="28"/>
                <w:lang w:val="en-US" w:eastAsia="zh-CN"/>
              </w:rPr>
              <w:t>人文</w:t>
            </w:r>
            <w:r>
              <w:rPr>
                <w:rFonts w:hint="eastAsia" w:ascii="仿宋" w:hAnsi="仿宋" w:eastAsia="仿宋"/>
                <w:sz w:val="28"/>
                <w:szCs w:val="28"/>
              </w:rPr>
              <w:t>学院</w:t>
            </w:r>
          </w:p>
        </w:tc>
      </w:tr>
      <w:tr w14:paraId="7C56CE10">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7C0F9E53">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3</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6CF48A89">
            <w:pPr>
              <w:adjustRightInd w:val="0"/>
              <w:snapToGrid w:val="0"/>
              <w:jc w:val="left"/>
              <w:rPr>
                <w:rFonts w:hint="eastAsia" w:ascii="仿宋" w:hAnsi="仿宋" w:eastAsia="仿宋"/>
                <w:sz w:val="28"/>
                <w:szCs w:val="28"/>
              </w:rPr>
            </w:pPr>
            <w:r>
              <w:rPr>
                <w:rFonts w:hint="eastAsia" w:ascii="仿宋" w:hAnsi="仿宋" w:eastAsia="仿宋" w:cs="宋体"/>
                <w:bCs/>
                <w:kern w:val="0"/>
                <w:sz w:val="28"/>
                <w:szCs w:val="28"/>
              </w:rPr>
              <w:t>社保缴费负担上升背景下福建中小企业灵活用工路径差异研究</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47FA6CC">
            <w:pPr>
              <w:adjustRightInd w:val="0"/>
              <w:snapToGrid w:val="0"/>
              <w:jc w:val="center"/>
              <w:rPr>
                <w:rFonts w:hint="eastAsia" w:ascii="仿宋" w:hAnsi="仿宋" w:eastAsia="仿宋"/>
                <w:sz w:val="28"/>
                <w:szCs w:val="28"/>
              </w:rPr>
            </w:pPr>
            <w:r>
              <w:rPr>
                <w:rFonts w:hint="eastAsia" w:ascii="仿宋" w:hAnsi="仿宋" w:eastAsia="仿宋" w:cs="宋体"/>
                <w:bCs/>
                <w:kern w:val="0"/>
                <w:sz w:val="28"/>
                <w:szCs w:val="28"/>
              </w:rPr>
              <w:t>曾勇惠</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C969ADE">
            <w:pPr>
              <w:adjustRightInd w:val="0"/>
              <w:snapToGrid w:val="0"/>
              <w:jc w:val="center"/>
              <w:rPr>
                <w:rFonts w:hint="eastAsia" w:ascii="仿宋" w:hAnsi="仿宋" w:eastAsia="仿宋"/>
                <w:sz w:val="28"/>
                <w:szCs w:val="28"/>
              </w:rPr>
            </w:pPr>
            <w:r>
              <w:rPr>
                <w:rFonts w:hint="eastAsia" w:ascii="仿宋" w:hAnsi="仿宋" w:eastAsia="仿宋"/>
                <w:sz w:val="28"/>
                <w:szCs w:val="28"/>
              </w:rPr>
              <w:t>管理学院</w:t>
            </w:r>
          </w:p>
        </w:tc>
      </w:tr>
      <w:tr w14:paraId="110E6CF8">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107098CB">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4</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0E0142AA">
            <w:pPr>
              <w:adjustRightInd w:val="0"/>
              <w:snapToGrid w:val="0"/>
              <w:jc w:val="left"/>
              <w:rPr>
                <w:rFonts w:hint="eastAsia" w:ascii="仿宋" w:hAnsi="仿宋" w:eastAsia="仿宋" w:cs="宋体"/>
                <w:bCs/>
                <w:kern w:val="0"/>
                <w:sz w:val="28"/>
                <w:szCs w:val="28"/>
              </w:rPr>
            </w:pPr>
            <w:r>
              <w:rPr>
                <w:rFonts w:hint="eastAsia" w:ascii="仿宋" w:hAnsi="仿宋" w:eastAsia="仿宋" w:cs="宋体"/>
                <w:bCs/>
                <w:kern w:val="0"/>
                <w:sz w:val="28"/>
                <w:szCs w:val="28"/>
              </w:rPr>
              <w:t>体认翻译学视域下泉州海丝文化外宣英译：对外传播与在地保护传承的互构研究</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6AE4F8FE">
            <w:pPr>
              <w:adjustRightInd w:val="0"/>
              <w:snapToGrid w:val="0"/>
              <w:jc w:val="center"/>
              <w:rPr>
                <w:rFonts w:hint="eastAsia" w:ascii="仿宋" w:hAnsi="仿宋" w:eastAsia="仿宋" w:cs="宋体"/>
                <w:bCs/>
                <w:kern w:val="0"/>
                <w:sz w:val="28"/>
                <w:szCs w:val="28"/>
              </w:rPr>
            </w:pPr>
            <w:r>
              <w:rPr>
                <w:rFonts w:hint="eastAsia" w:ascii="仿宋" w:hAnsi="仿宋" w:eastAsia="仿宋" w:cs="宋体"/>
                <w:bCs/>
                <w:kern w:val="0"/>
                <w:sz w:val="28"/>
                <w:szCs w:val="28"/>
              </w:rPr>
              <w:t>李玥瑶</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B9E43D7">
            <w:pPr>
              <w:adjustRightInd w:val="0"/>
              <w:snapToGrid w:val="0"/>
              <w:jc w:val="center"/>
              <w:rPr>
                <w:rFonts w:hint="eastAsia" w:ascii="仿宋" w:hAnsi="仿宋" w:eastAsia="仿宋"/>
                <w:sz w:val="28"/>
                <w:szCs w:val="28"/>
              </w:rPr>
            </w:pPr>
            <w:r>
              <w:rPr>
                <w:rFonts w:hint="eastAsia" w:ascii="仿宋" w:hAnsi="仿宋" w:eastAsia="仿宋"/>
                <w:sz w:val="28"/>
                <w:szCs w:val="28"/>
                <w:lang w:val="en-US" w:eastAsia="zh-CN"/>
              </w:rPr>
              <w:t>外国语</w:t>
            </w:r>
            <w:r>
              <w:rPr>
                <w:rFonts w:hint="eastAsia" w:ascii="仿宋" w:hAnsi="仿宋" w:eastAsia="仿宋"/>
                <w:sz w:val="28"/>
                <w:szCs w:val="28"/>
              </w:rPr>
              <w:t>学院</w:t>
            </w:r>
          </w:p>
        </w:tc>
      </w:tr>
      <w:tr w14:paraId="3139AE29">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7A7F572A">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5</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0F967ED9">
            <w:pPr>
              <w:adjustRightInd w:val="0"/>
              <w:snapToGrid w:val="0"/>
              <w:jc w:val="left"/>
              <w:rPr>
                <w:rFonts w:hint="eastAsia" w:ascii="仿宋" w:hAnsi="仿宋" w:eastAsia="仿宋"/>
                <w:sz w:val="28"/>
                <w:szCs w:val="28"/>
              </w:rPr>
            </w:pPr>
            <w:r>
              <w:rPr>
                <w:rFonts w:hint="eastAsia" w:ascii="仿宋" w:hAnsi="仿宋" w:eastAsia="仿宋" w:cs="宋体"/>
                <w:bCs/>
                <w:kern w:val="0"/>
                <w:sz w:val="28"/>
                <w:szCs w:val="28"/>
              </w:rPr>
              <w:t>高质量发展背景下华侨华人网络赋能福建企业对外直接投资的机制与路径研究</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225F3B4">
            <w:pPr>
              <w:adjustRightInd w:val="0"/>
              <w:snapToGrid w:val="0"/>
              <w:jc w:val="center"/>
              <w:rPr>
                <w:rFonts w:hint="eastAsia" w:ascii="仿宋" w:hAnsi="仿宋" w:eastAsia="仿宋"/>
                <w:sz w:val="28"/>
                <w:szCs w:val="28"/>
              </w:rPr>
            </w:pPr>
            <w:r>
              <w:rPr>
                <w:rFonts w:hint="eastAsia" w:ascii="仿宋" w:hAnsi="仿宋" w:eastAsia="仿宋" w:cs="宋体"/>
                <w:bCs/>
                <w:kern w:val="0"/>
                <w:sz w:val="28"/>
                <w:szCs w:val="28"/>
              </w:rPr>
              <w:t>颜诗琪</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E040697">
            <w:pPr>
              <w:adjustRightInd w:val="0"/>
              <w:snapToGrid w:val="0"/>
              <w:jc w:val="center"/>
              <w:rPr>
                <w:rFonts w:hint="eastAsia" w:ascii="仿宋" w:hAnsi="仿宋" w:eastAsia="仿宋"/>
                <w:sz w:val="28"/>
                <w:szCs w:val="28"/>
              </w:rPr>
            </w:pPr>
            <w:r>
              <w:rPr>
                <w:rFonts w:hint="eastAsia" w:ascii="仿宋" w:hAnsi="仿宋" w:eastAsia="仿宋"/>
                <w:sz w:val="28"/>
                <w:szCs w:val="28"/>
              </w:rPr>
              <w:t>管理学院</w:t>
            </w:r>
          </w:p>
        </w:tc>
      </w:tr>
      <w:tr w14:paraId="51C415BA">
        <w:tblPrEx>
          <w:tblCellMar>
            <w:top w:w="0" w:type="dxa"/>
            <w:left w:w="108" w:type="dxa"/>
            <w:bottom w:w="0" w:type="dxa"/>
            <w:right w:w="108" w:type="dxa"/>
          </w:tblCellMar>
        </w:tblPrEx>
        <w:trPr>
          <w:trHeight w:val="851" w:hRule="atLeast"/>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171D4B47">
            <w:pPr>
              <w:widowControl/>
              <w:jc w:val="center"/>
              <w:textAlignment w:val="center"/>
              <w:rPr>
                <w:rFonts w:hint="eastAsia" w:ascii="仿宋" w:hAnsi="仿宋" w:eastAsia="仿宋" w:cs="宋体"/>
                <w:color w:val="000000"/>
                <w:sz w:val="28"/>
                <w:szCs w:val="28"/>
              </w:rPr>
            </w:pPr>
            <w:r>
              <w:rPr>
                <w:rFonts w:hint="eastAsia" w:ascii="仿宋" w:hAnsi="仿宋" w:eastAsia="仿宋" w:cs="宋体"/>
                <w:color w:val="000000"/>
                <w:sz w:val="28"/>
                <w:szCs w:val="28"/>
              </w:rPr>
              <w:t>6</w:t>
            </w:r>
          </w:p>
        </w:tc>
        <w:tc>
          <w:tcPr>
            <w:tcW w:w="5006" w:type="dxa"/>
            <w:tcBorders>
              <w:top w:val="single" w:color="000000" w:sz="4" w:space="0"/>
              <w:left w:val="single" w:color="000000" w:sz="4" w:space="0"/>
              <w:bottom w:val="single" w:color="000000" w:sz="4" w:space="0"/>
              <w:right w:val="single" w:color="000000" w:sz="4" w:space="0"/>
            </w:tcBorders>
            <w:noWrap w:val="0"/>
            <w:vAlign w:val="center"/>
          </w:tcPr>
          <w:p w14:paraId="738D83D0">
            <w:pPr>
              <w:adjustRightInd w:val="0"/>
              <w:snapToGrid w:val="0"/>
              <w:jc w:val="left"/>
              <w:rPr>
                <w:rFonts w:hint="eastAsia" w:ascii="仿宋" w:hAnsi="仿宋" w:eastAsia="仿宋"/>
                <w:sz w:val="28"/>
                <w:szCs w:val="28"/>
              </w:rPr>
            </w:pPr>
            <w:r>
              <w:rPr>
                <w:rFonts w:hint="eastAsia" w:ascii="仿宋" w:hAnsi="仿宋" w:eastAsia="仿宋" w:cs="楷体"/>
                <w:sz w:val="28"/>
                <w:szCs w:val="28"/>
              </w:rPr>
              <w:t>“双优”视域下民办应用型本科高校人才培养与区域产业动态适配机制研究——基于“五业联动”的分析</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6EFB39FA">
            <w:pPr>
              <w:adjustRightInd w:val="0"/>
              <w:snapToGrid w:val="0"/>
              <w:jc w:val="center"/>
              <w:rPr>
                <w:rFonts w:hint="eastAsia" w:ascii="仿宋" w:hAnsi="仿宋" w:eastAsia="仿宋"/>
                <w:sz w:val="28"/>
                <w:szCs w:val="28"/>
              </w:rPr>
            </w:pPr>
            <w:r>
              <w:rPr>
                <w:rFonts w:hint="eastAsia" w:ascii="仿宋" w:hAnsi="仿宋" w:eastAsia="仿宋" w:cs="楷体"/>
                <w:sz w:val="28"/>
                <w:szCs w:val="28"/>
              </w:rPr>
              <w:t>李崇伟</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467FCE2">
            <w:pPr>
              <w:adjustRightInd w:val="0"/>
              <w:snapToGrid w:val="0"/>
              <w:jc w:val="center"/>
              <w:rPr>
                <w:rFonts w:hint="eastAsia" w:ascii="仿宋" w:hAnsi="仿宋" w:eastAsia="仿宋"/>
                <w:sz w:val="28"/>
                <w:szCs w:val="28"/>
              </w:rPr>
            </w:pPr>
            <w:r>
              <w:rPr>
                <w:rFonts w:hint="eastAsia" w:ascii="仿宋" w:hAnsi="仿宋" w:eastAsia="仿宋"/>
                <w:sz w:val="28"/>
                <w:szCs w:val="28"/>
              </w:rPr>
              <w:t>管理学院</w:t>
            </w:r>
          </w:p>
        </w:tc>
      </w:tr>
    </w:tbl>
    <w:p w14:paraId="69FBD6A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021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Normal (Web)"/>
    <w:basedOn w:val="1"/>
    <w:qFormat/>
    <w:uiPriority w:val="0"/>
    <w:pPr>
      <w:widowControl/>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2026-10-20T01:45:55Z</dcterms:created>
  <dc:creator>Administrator</dc:creator>
  <cp:lastModifiedBy>ruirui</cp:lastModifiedBy>
  <dcterms:modified xsi:type="dcterms:W3CDTF">2026-10-20T01:46:06Z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eyJoZGlkIjoiYmRiMWJjMjFlOTVhZDY3ZjlmODA5ZThjYjc5ZGVlNDIiLCJ1c2VySWQiOiIxODE1MTY0ODgwIn0=</vt:lpwstr>
  </property>
  <property fmtid="{D5CDD505-2E9C-101B-9397-08002B2CF9AE}" pid="4" name="ICV">
    <vt:lpwstr>E1869CB8DFAE4696BD787BF29646DF32_12</vt:lpwstr>
  </property>
</Properties>
</file>