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0C9392">
      <w:pPr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16A30E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w w:val="95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w w:val="95"/>
          <w:sz w:val="44"/>
          <w:szCs w:val="44"/>
          <w:lang w:val="en-US" w:eastAsia="zh-CN"/>
        </w:rPr>
        <w:t>舞台科普展演节目申报表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348"/>
        <w:gridCol w:w="1727"/>
        <w:gridCol w:w="1891"/>
        <w:gridCol w:w="4739"/>
        <w:gridCol w:w="2985"/>
      </w:tblGrid>
      <w:tr w14:paraId="2A8F4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80" w:type="dxa"/>
            <w:noWrap w:val="0"/>
            <w:vAlign w:val="top"/>
          </w:tcPr>
          <w:p w14:paraId="511064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348" w:type="dxa"/>
            <w:noWrap w:val="0"/>
            <w:vAlign w:val="top"/>
          </w:tcPr>
          <w:p w14:paraId="294114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节目类型</w:t>
            </w:r>
          </w:p>
        </w:tc>
        <w:tc>
          <w:tcPr>
            <w:tcW w:w="1727" w:type="dxa"/>
            <w:noWrap w:val="0"/>
            <w:vAlign w:val="top"/>
          </w:tcPr>
          <w:p w14:paraId="0BC890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节目名称</w:t>
            </w:r>
          </w:p>
        </w:tc>
        <w:tc>
          <w:tcPr>
            <w:tcW w:w="1891" w:type="dxa"/>
            <w:noWrap w:val="0"/>
            <w:vAlign w:val="top"/>
          </w:tcPr>
          <w:p w14:paraId="409067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参加单位</w:t>
            </w:r>
          </w:p>
        </w:tc>
        <w:tc>
          <w:tcPr>
            <w:tcW w:w="4739" w:type="dxa"/>
            <w:noWrap w:val="0"/>
            <w:vAlign w:val="top"/>
          </w:tcPr>
          <w:p w14:paraId="692D7B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联系人及联系方式</w:t>
            </w:r>
          </w:p>
        </w:tc>
        <w:tc>
          <w:tcPr>
            <w:tcW w:w="2985" w:type="dxa"/>
            <w:noWrap w:val="0"/>
            <w:vAlign w:val="top"/>
          </w:tcPr>
          <w:p w14:paraId="15F178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意向展演时间</w:t>
            </w:r>
          </w:p>
          <w:p w14:paraId="235EAC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（8月28日晚、8月30日晚可选，需服从调剂）</w:t>
            </w:r>
          </w:p>
        </w:tc>
      </w:tr>
      <w:tr w14:paraId="77AFA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top"/>
          </w:tcPr>
          <w:p w14:paraId="3E11D322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348" w:type="dxa"/>
            <w:noWrap w:val="0"/>
            <w:vAlign w:val="top"/>
          </w:tcPr>
          <w:p w14:paraId="36D0A2C7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27" w:type="dxa"/>
            <w:noWrap w:val="0"/>
            <w:vAlign w:val="top"/>
          </w:tcPr>
          <w:p w14:paraId="6E15973A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91" w:type="dxa"/>
            <w:noWrap w:val="0"/>
            <w:vAlign w:val="top"/>
          </w:tcPr>
          <w:p w14:paraId="60B27598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739" w:type="dxa"/>
            <w:noWrap w:val="0"/>
            <w:vAlign w:val="top"/>
          </w:tcPr>
          <w:p w14:paraId="328D56B9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85" w:type="dxa"/>
            <w:noWrap w:val="0"/>
            <w:vAlign w:val="top"/>
          </w:tcPr>
          <w:p w14:paraId="669A2B3A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9E85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top"/>
          </w:tcPr>
          <w:p w14:paraId="69B16C5E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348" w:type="dxa"/>
            <w:noWrap w:val="0"/>
            <w:vAlign w:val="top"/>
          </w:tcPr>
          <w:p w14:paraId="3E5C1C0A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27" w:type="dxa"/>
            <w:noWrap w:val="0"/>
            <w:vAlign w:val="top"/>
          </w:tcPr>
          <w:p w14:paraId="3A5599CF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91" w:type="dxa"/>
            <w:noWrap w:val="0"/>
            <w:vAlign w:val="top"/>
          </w:tcPr>
          <w:p w14:paraId="1E22D6A4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739" w:type="dxa"/>
            <w:noWrap w:val="0"/>
            <w:vAlign w:val="top"/>
          </w:tcPr>
          <w:p w14:paraId="47B8F10A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85" w:type="dxa"/>
            <w:noWrap w:val="0"/>
            <w:vAlign w:val="top"/>
          </w:tcPr>
          <w:p w14:paraId="4C3AFB84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B07D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top"/>
          </w:tcPr>
          <w:p w14:paraId="5BACE681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348" w:type="dxa"/>
            <w:noWrap w:val="0"/>
            <w:vAlign w:val="top"/>
          </w:tcPr>
          <w:p w14:paraId="0C3880DF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27" w:type="dxa"/>
            <w:noWrap w:val="0"/>
            <w:vAlign w:val="top"/>
          </w:tcPr>
          <w:p w14:paraId="249DD43B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91" w:type="dxa"/>
            <w:noWrap w:val="0"/>
            <w:vAlign w:val="top"/>
          </w:tcPr>
          <w:p w14:paraId="69E39DA7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739" w:type="dxa"/>
            <w:noWrap w:val="0"/>
            <w:vAlign w:val="top"/>
          </w:tcPr>
          <w:p w14:paraId="664A6E07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85" w:type="dxa"/>
            <w:noWrap w:val="0"/>
            <w:vAlign w:val="top"/>
          </w:tcPr>
          <w:p w14:paraId="70B66B3E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9F3A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top"/>
          </w:tcPr>
          <w:p w14:paraId="4EB3A37C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348" w:type="dxa"/>
            <w:noWrap w:val="0"/>
            <w:vAlign w:val="top"/>
          </w:tcPr>
          <w:p w14:paraId="24F17F68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27" w:type="dxa"/>
            <w:noWrap w:val="0"/>
            <w:vAlign w:val="top"/>
          </w:tcPr>
          <w:p w14:paraId="0F02F4FD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91" w:type="dxa"/>
            <w:noWrap w:val="0"/>
            <w:vAlign w:val="top"/>
          </w:tcPr>
          <w:p w14:paraId="0FDAE369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739" w:type="dxa"/>
            <w:noWrap w:val="0"/>
            <w:vAlign w:val="top"/>
          </w:tcPr>
          <w:p w14:paraId="3D18369F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85" w:type="dxa"/>
            <w:noWrap w:val="0"/>
            <w:vAlign w:val="top"/>
          </w:tcPr>
          <w:p w14:paraId="1EFC5229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28D1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top"/>
          </w:tcPr>
          <w:p w14:paraId="428D7E7C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348" w:type="dxa"/>
            <w:noWrap w:val="0"/>
            <w:vAlign w:val="top"/>
          </w:tcPr>
          <w:p w14:paraId="06B79D93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27" w:type="dxa"/>
            <w:noWrap w:val="0"/>
            <w:vAlign w:val="top"/>
          </w:tcPr>
          <w:p w14:paraId="66059825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91" w:type="dxa"/>
            <w:noWrap w:val="0"/>
            <w:vAlign w:val="top"/>
          </w:tcPr>
          <w:p w14:paraId="6814EFA0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739" w:type="dxa"/>
            <w:noWrap w:val="0"/>
            <w:vAlign w:val="top"/>
          </w:tcPr>
          <w:p w14:paraId="4EFA3715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85" w:type="dxa"/>
            <w:noWrap w:val="0"/>
            <w:vAlign w:val="top"/>
          </w:tcPr>
          <w:p w14:paraId="21A84B5B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0C69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780" w:type="dxa"/>
            <w:noWrap w:val="0"/>
            <w:vAlign w:val="top"/>
          </w:tcPr>
          <w:p w14:paraId="75DEFBCF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1348" w:type="dxa"/>
            <w:noWrap w:val="0"/>
            <w:vAlign w:val="top"/>
          </w:tcPr>
          <w:p w14:paraId="0E185F0E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27" w:type="dxa"/>
            <w:noWrap w:val="0"/>
            <w:vAlign w:val="top"/>
          </w:tcPr>
          <w:p w14:paraId="7D605559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91" w:type="dxa"/>
            <w:noWrap w:val="0"/>
            <w:vAlign w:val="top"/>
          </w:tcPr>
          <w:p w14:paraId="5330B814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739" w:type="dxa"/>
            <w:noWrap w:val="0"/>
            <w:vAlign w:val="top"/>
          </w:tcPr>
          <w:p w14:paraId="17C403CC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85" w:type="dxa"/>
            <w:noWrap w:val="0"/>
            <w:vAlign w:val="top"/>
          </w:tcPr>
          <w:p w14:paraId="0699FA20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5850011E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EBF870E-B704-4C3F-A7EE-D1AE980B48F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250A24C-99AF-44BF-B786-E5445E488B0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AD18BA8B-C7D3-4BB6-8C7C-0798B41F39C2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2629854A-7DDF-487D-8E7C-658BA776F63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C86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spacing w:after="0"/>
      <w:ind w:firstLine="420"/>
    </w:pPr>
    <w:rPr>
      <w:sz w:val="20"/>
      <w:szCs w:val="20"/>
    </w:rPr>
  </w:style>
  <w:style w:type="paragraph" w:styleId="3">
    <w:name w:val="Body Text"/>
    <w:basedOn w:val="1"/>
    <w:next w:val="1"/>
    <w:unhideWhenUsed/>
    <w:qFormat/>
    <w:uiPriority w:val="1"/>
    <w:pPr>
      <w:widowControl/>
      <w:spacing w:after="120" w:line="276" w:lineRule="auto"/>
    </w:pPr>
    <w:rPr>
      <w:rFonts w:ascii="Calibri" w:hAnsi="Calibri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2026-08-17T06:56:13Z</dcterms:created>
  <dc:creator>Administrator</dc:creator>
  <cp:lastModifiedBy>ruirui</cp:lastModifiedBy>
  <dcterms:modified xsi:type="dcterms:W3CDTF">2026-08-17T06:56:46Z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eyJoZGlkIjoiYmRiMWJjMjFlOTVhZDY3ZjlmODA5ZThjYjc5ZGVlNDIiLCJ1c2VySWQiOiIxODE1MTY0ODgwIn0=</vt:lpwstr>
  </property>
  <property fmtid="{D5CDD505-2E9C-101B-9397-08002B2CF9AE}" pid="4" name="ICV">
    <vt:lpwstr>EBA0D32E278C427A869B2B0DDEB5D575_12</vt:lpwstr>
  </property>
</Properties>
</file>